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07A6" w14:textId="77777777" w:rsidR="006F472C" w:rsidRPr="006F472C" w:rsidRDefault="006F472C" w:rsidP="006F472C">
      <w:pPr>
        <w:spacing w:after="0"/>
        <w:rPr>
          <w:rFonts w:cstheme="minorHAnsi"/>
          <w:b/>
        </w:rPr>
      </w:pPr>
      <w:r w:rsidRPr="006F472C">
        <w:rPr>
          <w:rFonts w:cstheme="minorHAnsi"/>
          <w:b/>
        </w:rPr>
        <w:t xml:space="preserve">Naziv </w:t>
      </w:r>
      <w:proofErr w:type="spellStart"/>
      <w:r w:rsidRPr="006F472C">
        <w:rPr>
          <w:rFonts w:cstheme="minorHAnsi"/>
          <w:b/>
        </w:rPr>
        <w:t>obv</w:t>
      </w:r>
      <w:proofErr w:type="spellEnd"/>
      <w:r w:rsidRPr="006F472C">
        <w:rPr>
          <w:rFonts w:cstheme="minorHAnsi"/>
          <w:b/>
        </w:rPr>
        <w:t>.:</w:t>
      </w:r>
      <w:r w:rsidRPr="006F472C">
        <w:rPr>
          <w:rFonts w:cstheme="minorHAnsi"/>
          <w:b/>
        </w:rPr>
        <w:tab/>
        <w:t>HRVATSKA KNJIŽNICA I ČITAONICA SALI</w:t>
      </w:r>
    </w:p>
    <w:p w14:paraId="165933C3" w14:textId="77777777" w:rsidR="006F472C" w:rsidRPr="006F472C" w:rsidRDefault="006F472C" w:rsidP="006F472C">
      <w:pPr>
        <w:spacing w:after="0"/>
        <w:rPr>
          <w:rFonts w:cstheme="minorHAnsi"/>
          <w:b/>
        </w:rPr>
      </w:pPr>
      <w:r w:rsidRPr="006F472C">
        <w:rPr>
          <w:rFonts w:cstheme="minorHAnsi"/>
          <w:b/>
        </w:rPr>
        <w:t>Brij RKP-a:</w:t>
      </w:r>
      <w:r w:rsidRPr="006F472C">
        <w:rPr>
          <w:rFonts w:cstheme="minorHAnsi"/>
          <w:b/>
        </w:rPr>
        <w:tab/>
        <w:t>35239</w:t>
      </w:r>
      <w:r w:rsidRPr="006F472C">
        <w:rPr>
          <w:rFonts w:cstheme="minorHAnsi"/>
          <w:b/>
        </w:rPr>
        <w:tab/>
      </w:r>
      <w:r w:rsidRPr="006F472C">
        <w:rPr>
          <w:rFonts w:cstheme="minorHAnsi"/>
          <w:b/>
        </w:rPr>
        <w:tab/>
      </w:r>
      <w:r w:rsidRPr="006F472C">
        <w:rPr>
          <w:rFonts w:cstheme="minorHAnsi"/>
          <w:b/>
        </w:rPr>
        <w:tab/>
      </w:r>
      <w:r w:rsidRPr="006F472C">
        <w:rPr>
          <w:rFonts w:cstheme="minorHAnsi"/>
          <w:b/>
        </w:rPr>
        <w:tab/>
        <w:t>Razina:</w:t>
      </w:r>
      <w:r w:rsidRPr="006F472C">
        <w:rPr>
          <w:rFonts w:cstheme="minorHAnsi"/>
          <w:b/>
        </w:rPr>
        <w:tab/>
      </w:r>
      <w:r w:rsidRPr="006F472C">
        <w:rPr>
          <w:rFonts w:cstheme="minorHAnsi"/>
          <w:b/>
        </w:rPr>
        <w:tab/>
        <w:t>21 Proračunski korisnik JLPRS</w:t>
      </w:r>
    </w:p>
    <w:p w14:paraId="77238C1D" w14:textId="77777777" w:rsidR="006F472C" w:rsidRPr="006F472C" w:rsidRDefault="006F472C" w:rsidP="006F472C">
      <w:pPr>
        <w:spacing w:after="0"/>
        <w:rPr>
          <w:rFonts w:cstheme="minorHAnsi"/>
          <w:b/>
        </w:rPr>
      </w:pPr>
      <w:r w:rsidRPr="006F472C">
        <w:rPr>
          <w:rFonts w:cstheme="minorHAnsi"/>
          <w:b/>
        </w:rPr>
        <w:t>Matični br.:</w:t>
      </w:r>
      <w:r w:rsidRPr="006F472C">
        <w:rPr>
          <w:rFonts w:cstheme="minorHAnsi"/>
          <w:b/>
        </w:rPr>
        <w:tab/>
        <w:t>01583387</w:t>
      </w:r>
      <w:r w:rsidRPr="006F472C">
        <w:rPr>
          <w:rFonts w:cstheme="minorHAnsi"/>
          <w:b/>
        </w:rPr>
        <w:tab/>
      </w:r>
      <w:r w:rsidRPr="006F472C">
        <w:rPr>
          <w:rFonts w:cstheme="minorHAnsi"/>
          <w:b/>
        </w:rPr>
        <w:tab/>
      </w:r>
      <w:r w:rsidRPr="006F472C">
        <w:rPr>
          <w:rFonts w:cstheme="minorHAnsi"/>
          <w:b/>
        </w:rPr>
        <w:tab/>
        <w:t>Razdjel:</w:t>
      </w:r>
      <w:r w:rsidRPr="006F472C">
        <w:rPr>
          <w:rFonts w:cstheme="minorHAnsi"/>
          <w:b/>
        </w:rPr>
        <w:tab/>
        <w:t>000 Nema razdjela</w:t>
      </w:r>
    </w:p>
    <w:p w14:paraId="29C3314B" w14:textId="77777777" w:rsidR="006F472C" w:rsidRPr="006F472C" w:rsidRDefault="006F472C" w:rsidP="006F472C">
      <w:pPr>
        <w:spacing w:after="0"/>
        <w:rPr>
          <w:rFonts w:cstheme="minorHAnsi"/>
          <w:b/>
        </w:rPr>
      </w:pPr>
      <w:r w:rsidRPr="006F472C">
        <w:rPr>
          <w:rFonts w:cstheme="minorHAnsi"/>
          <w:b/>
        </w:rPr>
        <w:t>OIB:</w:t>
      </w:r>
      <w:r w:rsidRPr="006F472C">
        <w:rPr>
          <w:rFonts w:cstheme="minorHAnsi"/>
          <w:b/>
        </w:rPr>
        <w:tab/>
      </w:r>
      <w:r w:rsidRPr="006F472C">
        <w:rPr>
          <w:rFonts w:cstheme="minorHAnsi"/>
          <w:b/>
        </w:rPr>
        <w:tab/>
        <w:t>68404358413</w:t>
      </w:r>
      <w:r w:rsidRPr="006F472C">
        <w:rPr>
          <w:rFonts w:cstheme="minorHAnsi"/>
          <w:b/>
        </w:rPr>
        <w:tab/>
      </w:r>
      <w:r w:rsidRPr="006F472C">
        <w:rPr>
          <w:rFonts w:cstheme="minorHAnsi"/>
          <w:b/>
        </w:rPr>
        <w:tab/>
      </w:r>
      <w:r w:rsidRPr="006F472C">
        <w:rPr>
          <w:rFonts w:cstheme="minorHAnsi"/>
          <w:b/>
        </w:rPr>
        <w:tab/>
        <w:t>Šifra djelat.:</w:t>
      </w:r>
      <w:r w:rsidRPr="006F472C">
        <w:rPr>
          <w:rFonts w:cstheme="minorHAnsi"/>
          <w:b/>
        </w:rPr>
        <w:tab/>
        <w:t xml:space="preserve">9101 </w:t>
      </w:r>
      <w:proofErr w:type="spellStart"/>
      <w:r w:rsidRPr="006F472C">
        <w:rPr>
          <w:rFonts w:cstheme="minorHAnsi"/>
          <w:b/>
        </w:rPr>
        <w:t>Djelatn</w:t>
      </w:r>
      <w:proofErr w:type="spellEnd"/>
      <w:r w:rsidRPr="006F472C">
        <w:rPr>
          <w:rFonts w:cstheme="minorHAnsi"/>
          <w:b/>
        </w:rPr>
        <w:t>. knjižnica i arhiva</w:t>
      </w:r>
    </w:p>
    <w:p w14:paraId="4046CE5B" w14:textId="77777777" w:rsidR="006F472C" w:rsidRPr="006F472C" w:rsidRDefault="006F472C" w:rsidP="006F472C">
      <w:pPr>
        <w:spacing w:after="0"/>
        <w:rPr>
          <w:rFonts w:cstheme="minorHAnsi"/>
          <w:b/>
        </w:rPr>
      </w:pPr>
      <w:r w:rsidRPr="006F472C">
        <w:rPr>
          <w:rFonts w:cstheme="minorHAnsi"/>
          <w:b/>
        </w:rPr>
        <w:t>Sjedište:</w:t>
      </w:r>
      <w:r w:rsidRPr="006F472C">
        <w:rPr>
          <w:rFonts w:cstheme="minorHAnsi"/>
          <w:b/>
        </w:rPr>
        <w:tab/>
        <w:t>23281 SALI</w:t>
      </w:r>
      <w:r w:rsidRPr="006F472C">
        <w:rPr>
          <w:rFonts w:cstheme="minorHAnsi"/>
          <w:b/>
        </w:rPr>
        <w:tab/>
      </w:r>
      <w:r w:rsidRPr="006F472C">
        <w:rPr>
          <w:rFonts w:cstheme="minorHAnsi"/>
          <w:b/>
        </w:rPr>
        <w:tab/>
      </w:r>
      <w:r w:rsidRPr="006F472C">
        <w:rPr>
          <w:rFonts w:cstheme="minorHAnsi"/>
          <w:b/>
        </w:rPr>
        <w:tab/>
        <w:t>Šifra Župan.:</w:t>
      </w:r>
      <w:r w:rsidRPr="006F472C">
        <w:rPr>
          <w:rFonts w:cstheme="minorHAnsi"/>
          <w:b/>
        </w:rPr>
        <w:tab/>
        <w:t>379 Općina Sali</w:t>
      </w:r>
    </w:p>
    <w:p w14:paraId="7767572A" w14:textId="13B057C0" w:rsidR="006F472C" w:rsidRPr="006F472C" w:rsidRDefault="006F472C" w:rsidP="006F472C">
      <w:pPr>
        <w:spacing w:after="0"/>
        <w:rPr>
          <w:rFonts w:cstheme="minorHAnsi"/>
          <w:b/>
        </w:rPr>
      </w:pPr>
      <w:r w:rsidRPr="006F472C">
        <w:rPr>
          <w:rFonts w:cstheme="minorHAnsi"/>
          <w:b/>
        </w:rPr>
        <w:t>Adresa:</w:t>
      </w:r>
      <w:r w:rsidRPr="006F472C">
        <w:rPr>
          <w:rFonts w:cstheme="minorHAnsi"/>
          <w:b/>
        </w:rPr>
        <w:tab/>
      </w:r>
      <w:r w:rsidRPr="006F472C">
        <w:rPr>
          <w:rFonts w:cstheme="minorHAnsi"/>
          <w:b/>
        </w:rPr>
        <w:tab/>
        <w:t>Sali II 69</w:t>
      </w:r>
      <w:r w:rsidRPr="006F472C">
        <w:rPr>
          <w:rFonts w:cstheme="minorHAnsi"/>
          <w:b/>
        </w:rPr>
        <w:tab/>
      </w:r>
      <w:r w:rsidRPr="006F472C">
        <w:rPr>
          <w:rFonts w:cstheme="minorHAnsi"/>
          <w:b/>
        </w:rPr>
        <w:tab/>
      </w:r>
      <w:r w:rsidRPr="006F472C">
        <w:rPr>
          <w:rFonts w:cstheme="minorHAnsi"/>
          <w:b/>
        </w:rPr>
        <w:tab/>
        <w:t>Razdoblje:</w:t>
      </w:r>
      <w:r w:rsidRPr="006F472C">
        <w:rPr>
          <w:rFonts w:cstheme="minorHAnsi"/>
          <w:b/>
        </w:rPr>
        <w:tab/>
        <w:t>od 01.01.2024. do 31.12.2024.</w:t>
      </w:r>
    </w:p>
    <w:p w14:paraId="5287EBDB" w14:textId="77777777" w:rsidR="006F472C" w:rsidRDefault="006F472C" w:rsidP="006F472C">
      <w:pPr>
        <w:spacing w:after="0"/>
        <w:rPr>
          <w:rFonts w:cstheme="minorHAnsi"/>
          <w:b/>
        </w:rPr>
      </w:pPr>
      <w:r w:rsidRPr="006F472C">
        <w:rPr>
          <w:rFonts w:cstheme="minorHAnsi"/>
          <w:b/>
        </w:rPr>
        <w:tab/>
      </w:r>
    </w:p>
    <w:p w14:paraId="0CAA4E28" w14:textId="77777777" w:rsidR="00861ACF" w:rsidRDefault="00861ACF" w:rsidP="006F472C">
      <w:pPr>
        <w:spacing w:after="0"/>
        <w:rPr>
          <w:rFonts w:cstheme="minorHAnsi"/>
          <w:b/>
        </w:rPr>
      </w:pPr>
    </w:p>
    <w:p w14:paraId="150A17FD" w14:textId="77777777" w:rsidR="00861ACF" w:rsidRPr="006F472C" w:rsidRDefault="00861ACF" w:rsidP="006F472C">
      <w:pPr>
        <w:spacing w:after="0"/>
        <w:rPr>
          <w:rFonts w:cstheme="minorHAnsi"/>
          <w:b/>
        </w:rPr>
      </w:pPr>
    </w:p>
    <w:p w14:paraId="4370054D" w14:textId="77777777" w:rsidR="006F472C" w:rsidRPr="006F472C" w:rsidRDefault="006F472C" w:rsidP="006F472C">
      <w:pPr>
        <w:spacing w:after="0"/>
        <w:jc w:val="center"/>
        <w:rPr>
          <w:rFonts w:cstheme="minorHAnsi"/>
          <w:b/>
        </w:rPr>
      </w:pPr>
      <w:r w:rsidRPr="006F472C">
        <w:rPr>
          <w:rFonts w:cstheme="minorHAnsi"/>
          <w:b/>
        </w:rPr>
        <w:t xml:space="preserve">BILJEŠKE UZ FINANCIJSKE IZVJEŠTAJE </w:t>
      </w:r>
    </w:p>
    <w:p w14:paraId="3B884585" w14:textId="77777777" w:rsidR="006F472C" w:rsidRPr="006F472C" w:rsidRDefault="006F472C" w:rsidP="006F472C">
      <w:pPr>
        <w:spacing w:after="0"/>
        <w:rPr>
          <w:rFonts w:cstheme="minorHAnsi"/>
          <w:b/>
        </w:rPr>
      </w:pPr>
    </w:p>
    <w:p w14:paraId="75DFE464" w14:textId="48306F18" w:rsidR="006F472C" w:rsidRPr="00861ACF" w:rsidRDefault="006F472C" w:rsidP="006F472C">
      <w:pPr>
        <w:spacing w:after="0"/>
        <w:jc w:val="both"/>
        <w:rPr>
          <w:rFonts w:cstheme="minorHAnsi"/>
        </w:rPr>
      </w:pPr>
      <w:r w:rsidRPr="00861ACF">
        <w:rPr>
          <w:rFonts w:cstheme="minorHAnsi"/>
        </w:rPr>
        <w:t>Općina Sali osnovala je 2000. godine Hrvatsku knjižnicu i čitaonicu Sali sa sjedištem, u Salima. Hrvatska knjižnica i čitaonica Sali obavlja svoju djelatnost na jednoj lokaciji. Ima dva stalno zaposlena djelatnika od kojih je Ante Mihić ujedno i ravnatelj. Proračunski korisnik obavlja djelatnost knjižničarstva i nije obveznik PDV-a. Rashodi poslovanja redovite djelatnosti financiraju se iz nadležnog proračuna, a rashodi za nabavu nefinancijske imovine</w:t>
      </w:r>
      <w:r w:rsidR="00C255CA" w:rsidRPr="00861ACF">
        <w:rPr>
          <w:rFonts w:cstheme="minorHAnsi"/>
        </w:rPr>
        <w:t xml:space="preserve"> još sa</w:t>
      </w:r>
      <w:r w:rsidRPr="00861ACF">
        <w:rPr>
          <w:rFonts w:cstheme="minorHAnsi"/>
        </w:rPr>
        <w:t xml:space="preserve"> dijelom kapitalni</w:t>
      </w:r>
      <w:r w:rsidR="00C255CA" w:rsidRPr="00861ACF">
        <w:rPr>
          <w:rFonts w:cstheme="minorHAnsi"/>
        </w:rPr>
        <w:t>h</w:t>
      </w:r>
      <w:r w:rsidRPr="00861ACF">
        <w:rPr>
          <w:rFonts w:cstheme="minorHAnsi"/>
        </w:rPr>
        <w:t xml:space="preserve"> pomoći iz drugih proračuna.</w:t>
      </w:r>
    </w:p>
    <w:p w14:paraId="2949D1CE" w14:textId="4E3661C4" w:rsidR="006F472C" w:rsidRPr="00861ACF" w:rsidRDefault="006F472C" w:rsidP="006F472C">
      <w:pPr>
        <w:spacing w:after="0"/>
        <w:jc w:val="both"/>
        <w:rPr>
          <w:rFonts w:cstheme="minorHAnsi"/>
        </w:rPr>
      </w:pPr>
      <w:r w:rsidRPr="00861ACF">
        <w:rPr>
          <w:rFonts w:cstheme="minorHAnsi"/>
        </w:rPr>
        <w:t xml:space="preserve">Izvještaji o imovini, obvezama i vlastitim izvorima, prihodima i rashodima, primicima i izdacima iskazani su za razdoblje od 01. siječnja do 31. prosinca 2024. godine, a dobiveni su iz Glavne knjige proračunskog korisnika, izrađene u programu </w:t>
      </w:r>
      <w:proofErr w:type="spellStart"/>
      <w:r w:rsidRPr="00861ACF">
        <w:rPr>
          <w:rFonts w:cstheme="minorHAnsi"/>
        </w:rPr>
        <w:t>Synesis</w:t>
      </w:r>
      <w:proofErr w:type="spellEnd"/>
      <w:r w:rsidRPr="00861ACF">
        <w:rPr>
          <w:rFonts w:cstheme="minorHAnsi"/>
        </w:rPr>
        <w:t xml:space="preserve">. </w:t>
      </w:r>
    </w:p>
    <w:p w14:paraId="1002A0E2" w14:textId="77777777" w:rsidR="006F472C" w:rsidRPr="00861ACF" w:rsidRDefault="006F472C" w:rsidP="006F472C">
      <w:pPr>
        <w:spacing w:after="0"/>
        <w:jc w:val="both"/>
        <w:rPr>
          <w:rFonts w:cstheme="minorHAnsi"/>
        </w:rPr>
      </w:pPr>
      <w:r w:rsidRPr="00861ACF">
        <w:rPr>
          <w:rFonts w:cstheme="minorHAnsi"/>
        </w:rPr>
        <w:t>Poslovanje Hrvatske knjižnice i čitaonice Sali obavlja se preko vlastitog računa, otvorenog u OTP banci, IBAN:0324070001100123947.</w:t>
      </w:r>
    </w:p>
    <w:p w14:paraId="4FE2B7CC" w14:textId="77777777" w:rsidR="006F472C" w:rsidRPr="00861ACF" w:rsidRDefault="006F472C" w:rsidP="006F472C">
      <w:pPr>
        <w:spacing w:after="0"/>
        <w:jc w:val="center"/>
        <w:rPr>
          <w:rFonts w:cstheme="minorHAnsi"/>
          <w:b/>
        </w:rPr>
      </w:pPr>
      <w:r w:rsidRPr="00861ACF">
        <w:rPr>
          <w:rFonts w:cstheme="minorHAnsi"/>
          <w:b/>
        </w:rPr>
        <w:t>Zakonodavni okvir</w:t>
      </w:r>
    </w:p>
    <w:p w14:paraId="47B1E1B4" w14:textId="77777777" w:rsidR="006F472C" w:rsidRPr="001E785B" w:rsidRDefault="006F472C" w:rsidP="006F472C">
      <w:pPr>
        <w:pStyle w:val="Odlomakpopisa"/>
        <w:numPr>
          <w:ilvl w:val="0"/>
          <w:numId w:val="1"/>
        </w:numPr>
        <w:spacing w:after="0" w:line="240" w:lineRule="auto"/>
        <w:jc w:val="both"/>
        <w:rPr>
          <w:rFonts w:cstheme="minorHAnsi"/>
        </w:rPr>
      </w:pPr>
      <w:r w:rsidRPr="001E785B">
        <w:rPr>
          <w:rFonts w:cstheme="minorHAnsi"/>
        </w:rPr>
        <w:t>Zakon o proračunu (NN 144/21)</w:t>
      </w:r>
    </w:p>
    <w:p w14:paraId="0E2C9301" w14:textId="77777777" w:rsidR="006F472C" w:rsidRPr="001E785B" w:rsidRDefault="006F472C" w:rsidP="006F472C">
      <w:pPr>
        <w:pStyle w:val="Odlomakpopisa"/>
        <w:numPr>
          <w:ilvl w:val="0"/>
          <w:numId w:val="1"/>
        </w:numPr>
        <w:spacing w:after="0" w:line="240" w:lineRule="auto"/>
        <w:jc w:val="both"/>
        <w:rPr>
          <w:rFonts w:cstheme="minorHAnsi"/>
        </w:rPr>
      </w:pPr>
      <w:r w:rsidRPr="001E785B">
        <w:rPr>
          <w:rFonts w:cstheme="minorHAnsi"/>
        </w:rPr>
        <w:t>Pravilnik o financijskom izvještavanju u proračunskom računovodstvu (NN 37/2022)</w:t>
      </w:r>
    </w:p>
    <w:p w14:paraId="5F105452" w14:textId="77777777" w:rsidR="006F472C" w:rsidRPr="006F472C" w:rsidRDefault="006F472C" w:rsidP="006F472C">
      <w:pPr>
        <w:spacing w:after="0"/>
        <w:jc w:val="both"/>
        <w:rPr>
          <w:rFonts w:cstheme="minorHAnsi"/>
          <w:color w:val="FF0000"/>
        </w:rPr>
      </w:pPr>
    </w:p>
    <w:p w14:paraId="107FA828" w14:textId="77777777" w:rsidR="006F472C" w:rsidRPr="00F33BEA" w:rsidRDefault="006F472C" w:rsidP="006F472C">
      <w:pPr>
        <w:spacing w:after="0"/>
        <w:jc w:val="center"/>
        <w:rPr>
          <w:rFonts w:cstheme="minorHAnsi"/>
          <w:b/>
          <w:sz w:val="24"/>
          <w:szCs w:val="24"/>
        </w:rPr>
      </w:pPr>
      <w:r w:rsidRPr="00F33BEA">
        <w:rPr>
          <w:rFonts w:cstheme="minorHAnsi"/>
          <w:b/>
          <w:sz w:val="24"/>
          <w:szCs w:val="24"/>
        </w:rPr>
        <w:t>Izvještaj proračuna, proračunskih i izvanproračunskih korisnika:</w:t>
      </w:r>
    </w:p>
    <w:p w14:paraId="0C62BC42" w14:textId="77777777" w:rsidR="006F472C" w:rsidRPr="00F33BEA" w:rsidRDefault="006F472C" w:rsidP="006F472C">
      <w:pPr>
        <w:spacing w:after="0"/>
        <w:jc w:val="center"/>
        <w:rPr>
          <w:rFonts w:cstheme="minorHAnsi"/>
          <w:b/>
          <w:sz w:val="24"/>
          <w:szCs w:val="24"/>
        </w:rPr>
      </w:pPr>
      <w:r w:rsidRPr="00F33BEA">
        <w:rPr>
          <w:rFonts w:cstheme="minorHAnsi"/>
          <w:b/>
          <w:sz w:val="24"/>
          <w:szCs w:val="24"/>
        </w:rPr>
        <w:t xml:space="preserve">Bilješke uz obrazac BILANCA </w:t>
      </w:r>
    </w:p>
    <w:p w14:paraId="42DCEC85" w14:textId="35F3C007" w:rsidR="006F472C" w:rsidRPr="006237EB" w:rsidRDefault="006F472C" w:rsidP="006F472C">
      <w:pPr>
        <w:spacing w:after="0"/>
        <w:jc w:val="both"/>
        <w:rPr>
          <w:rFonts w:cstheme="minorHAnsi"/>
        </w:rPr>
      </w:pPr>
      <w:r w:rsidRPr="00F33BEA">
        <w:rPr>
          <w:rFonts w:cstheme="minorHAnsi"/>
        </w:rPr>
        <w:t>U obrascu Bilanca stanja na dan 31.12.202</w:t>
      </w:r>
      <w:r w:rsidR="00F33BEA" w:rsidRPr="00F33BEA">
        <w:rPr>
          <w:rFonts w:cstheme="minorHAnsi"/>
        </w:rPr>
        <w:t>4</w:t>
      </w:r>
      <w:r w:rsidRPr="00F33BEA">
        <w:rPr>
          <w:rFonts w:cstheme="minorHAnsi"/>
        </w:rPr>
        <w:t>. godine, koji predstavlja vrijednosno iskazani pregled imovine, obveza i vlastitih izvora, ne postoje ugovorni odnosi koji uz ispunjenje određenih uvjeta mogu postati obveza ili imovina, te ne postoje nikakva dana ili dobivena jamstva, založna prava ili drugi instrumenti osiguranja plaćanja. Sadržaj evidencije sudskih sporova nije  prikazan jer se ne vode nikakvi sudski sporovi.</w:t>
      </w:r>
    </w:p>
    <w:p w14:paraId="2DDE3567" w14:textId="7423789A" w:rsidR="006F472C" w:rsidRPr="00E571A1" w:rsidRDefault="006F472C" w:rsidP="006F472C">
      <w:pPr>
        <w:spacing w:after="0"/>
        <w:jc w:val="center"/>
        <w:rPr>
          <w:rFonts w:cstheme="minorHAnsi"/>
          <w:i/>
          <w:iCs/>
        </w:rPr>
      </w:pPr>
      <w:r w:rsidRPr="00E571A1">
        <w:rPr>
          <w:rFonts w:cstheme="minorHAnsi"/>
          <w:i/>
          <w:iCs/>
        </w:rPr>
        <w:t xml:space="preserve">Bilješka 1. uz šifru </w:t>
      </w:r>
      <w:r w:rsidR="006237EB" w:rsidRPr="00E571A1">
        <w:rPr>
          <w:rFonts w:cstheme="minorHAnsi"/>
          <w:i/>
          <w:iCs/>
        </w:rPr>
        <w:t>B</w:t>
      </w:r>
      <w:r w:rsidRPr="00E571A1">
        <w:rPr>
          <w:rFonts w:cstheme="minorHAnsi"/>
          <w:i/>
          <w:iCs/>
        </w:rPr>
        <w:t>0</w:t>
      </w:r>
      <w:r w:rsidR="006237EB" w:rsidRPr="00E571A1">
        <w:rPr>
          <w:rFonts w:cstheme="minorHAnsi"/>
          <w:i/>
          <w:iCs/>
        </w:rPr>
        <w:t>02</w:t>
      </w:r>
      <w:r w:rsidRPr="00E571A1">
        <w:rPr>
          <w:rFonts w:cstheme="minorHAnsi"/>
          <w:i/>
          <w:iCs/>
        </w:rPr>
        <w:t xml:space="preserve"> – Nefinancijska imovina</w:t>
      </w:r>
    </w:p>
    <w:p w14:paraId="40B3780D" w14:textId="6A59B3A5" w:rsidR="006F472C" w:rsidRPr="006237EB" w:rsidRDefault="006F472C" w:rsidP="006F472C">
      <w:pPr>
        <w:spacing w:after="0"/>
        <w:jc w:val="both"/>
        <w:rPr>
          <w:rFonts w:cstheme="minorHAnsi"/>
        </w:rPr>
      </w:pPr>
      <w:r w:rsidRPr="006237EB">
        <w:rPr>
          <w:rFonts w:cstheme="minorHAnsi"/>
        </w:rPr>
        <w:t xml:space="preserve">Nefinancijska imovina je povećana za </w:t>
      </w:r>
      <w:r w:rsidR="006237EB" w:rsidRPr="006237EB">
        <w:rPr>
          <w:rFonts w:cstheme="minorHAnsi"/>
        </w:rPr>
        <w:t>8,6</w:t>
      </w:r>
      <w:r w:rsidRPr="006237EB">
        <w:rPr>
          <w:rFonts w:cstheme="minorHAnsi"/>
        </w:rPr>
        <w:t>% u odnosu na početak 202</w:t>
      </w:r>
      <w:r w:rsidR="006237EB" w:rsidRPr="006237EB">
        <w:rPr>
          <w:rFonts w:cstheme="minorHAnsi"/>
        </w:rPr>
        <w:t>4</w:t>
      </w:r>
      <w:r w:rsidRPr="006237EB">
        <w:rPr>
          <w:rFonts w:cstheme="minorHAnsi"/>
        </w:rPr>
        <w:t xml:space="preserve">. godine. Povećanje se odnosi na nabavu knjižne građe koja je u visini od </w:t>
      </w:r>
      <w:r w:rsidR="006237EB" w:rsidRPr="006237EB">
        <w:rPr>
          <w:rFonts w:cstheme="minorHAnsi"/>
        </w:rPr>
        <w:t>36</w:t>
      </w:r>
      <w:r w:rsidRPr="006237EB">
        <w:rPr>
          <w:rFonts w:cstheme="minorHAnsi"/>
        </w:rPr>
        <w:t xml:space="preserve">% financirana kao Prihod iz nadležnog proračuna, a u visini od </w:t>
      </w:r>
      <w:r w:rsidR="006237EB" w:rsidRPr="006237EB">
        <w:rPr>
          <w:rFonts w:cstheme="minorHAnsi"/>
        </w:rPr>
        <w:t>64</w:t>
      </w:r>
      <w:r w:rsidRPr="006237EB">
        <w:rPr>
          <w:rFonts w:cstheme="minorHAnsi"/>
        </w:rPr>
        <w:t>% kao pomoć iz drugih proračuna (Ministarstvo kulture).</w:t>
      </w:r>
    </w:p>
    <w:p w14:paraId="401164E6" w14:textId="0522C33D" w:rsidR="006F472C" w:rsidRPr="006237EB" w:rsidRDefault="006F472C" w:rsidP="006F472C">
      <w:pPr>
        <w:spacing w:after="0"/>
        <w:jc w:val="both"/>
        <w:rPr>
          <w:rFonts w:cstheme="minorHAnsi"/>
        </w:rPr>
      </w:pPr>
      <w:r w:rsidRPr="006237EB">
        <w:rPr>
          <w:rFonts w:cstheme="minorHAnsi"/>
        </w:rPr>
        <w:t>Ispravak vrijednosti proizvedene dugotrajne nefinancijske imovine izvršen je</w:t>
      </w:r>
      <w:r w:rsidR="00C255CA">
        <w:rPr>
          <w:rFonts w:cstheme="minorHAnsi"/>
        </w:rPr>
        <w:t xml:space="preserve"> </w:t>
      </w:r>
      <w:r w:rsidR="006237EB" w:rsidRPr="006237EB">
        <w:rPr>
          <w:rFonts w:cstheme="minorHAnsi"/>
        </w:rPr>
        <w:t>linearnom metodom</w:t>
      </w:r>
      <w:r w:rsidRPr="006237EB">
        <w:rPr>
          <w:rFonts w:cstheme="minorHAnsi"/>
        </w:rPr>
        <w:t xml:space="preserve"> po propisanim stopama ispravka vrijednosti dugotrajne imovine. Osim nabavke knjižne građe nije bilo nabave druge dugotrajne imovine. </w:t>
      </w:r>
    </w:p>
    <w:p w14:paraId="7658A95D" w14:textId="77777777" w:rsidR="006F472C" w:rsidRPr="006237EB" w:rsidRDefault="006F472C" w:rsidP="006F472C">
      <w:pPr>
        <w:spacing w:after="0"/>
        <w:jc w:val="center"/>
        <w:rPr>
          <w:rFonts w:cstheme="minorHAnsi"/>
          <w:i/>
          <w:iCs/>
        </w:rPr>
      </w:pPr>
      <w:r w:rsidRPr="006237EB">
        <w:rPr>
          <w:rFonts w:cstheme="minorHAnsi"/>
          <w:i/>
          <w:iCs/>
        </w:rPr>
        <w:t>Bilješka 2. uz šifru 1 –Financijska imovina</w:t>
      </w:r>
    </w:p>
    <w:p w14:paraId="42663E82" w14:textId="77777777" w:rsidR="006F472C" w:rsidRPr="00E571A1" w:rsidRDefault="006F472C" w:rsidP="006F472C">
      <w:pPr>
        <w:spacing w:after="0"/>
        <w:jc w:val="both"/>
        <w:rPr>
          <w:rFonts w:cstheme="minorHAnsi"/>
        </w:rPr>
      </w:pPr>
      <w:r w:rsidRPr="006237EB">
        <w:rPr>
          <w:rFonts w:cstheme="minorHAnsi"/>
        </w:rPr>
        <w:t xml:space="preserve">Novac u banci i blagajni čini cijelu financijsku imovinu, usklađeni su sa bankovnim izvodom i blagajničkim dnevnikom. Nema nenaplaćenih potraživanja, pa sukladno članku 37.a Pravilnika o proračunskom računovodstvu nije proveden ispravak vrijednosti potraživanja jer nema kašnjenja u naplati preko godine dana, kao ni pokretanja stečajnog postupka ili likvidacijskog postupka nad dužnicima. </w:t>
      </w:r>
    </w:p>
    <w:p w14:paraId="6778E674" w14:textId="77777777" w:rsidR="006F472C" w:rsidRPr="00E571A1" w:rsidRDefault="006F472C" w:rsidP="006F472C">
      <w:pPr>
        <w:spacing w:after="0"/>
        <w:jc w:val="center"/>
        <w:rPr>
          <w:rFonts w:cstheme="minorHAnsi"/>
          <w:i/>
          <w:iCs/>
        </w:rPr>
      </w:pPr>
      <w:r w:rsidRPr="00E571A1">
        <w:rPr>
          <w:rFonts w:cstheme="minorHAnsi"/>
          <w:i/>
          <w:iCs/>
        </w:rPr>
        <w:t>Bilješka 3. uz šifru 2 – Obveze</w:t>
      </w:r>
    </w:p>
    <w:p w14:paraId="242DD931" w14:textId="1C5DDDAC" w:rsidR="006F472C" w:rsidRPr="009F08D9" w:rsidRDefault="006F472C" w:rsidP="006F472C">
      <w:pPr>
        <w:spacing w:after="0"/>
        <w:jc w:val="both"/>
        <w:rPr>
          <w:rFonts w:cstheme="minorHAnsi"/>
        </w:rPr>
      </w:pPr>
      <w:r w:rsidRPr="00E571A1">
        <w:rPr>
          <w:rFonts w:cstheme="minorHAnsi"/>
        </w:rPr>
        <w:t xml:space="preserve">Ukupne obveze su za </w:t>
      </w:r>
      <w:r w:rsidR="006237EB" w:rsidRPr="00E571A1">
        <w:rPr>
          <w:rFonts w:cstheme="minorHAnsi"/>
        </w:rPr>
        <w:t>78</w:t>
      </w:r>
      <w:r w:rsidRPr="00E571A1">
        <w:rPr>
          <w:rFonts w:cstheme="minorHAnsi"/>
        </w:rPr>
        <w:t>% u</w:t>
      </w:r>
      <w:r w:rsidR="006237EB" w:rsidRPr="00E571A1">
        <w:rPr>
          <w:rFonts w:cstheme="minorHAnsi"/>
        </w:rPr>
        <w:t>veća</w:t>
      </w:r>
      <w:r w:rsidRPr="00E571A1">
        <w:rPr>
          <w:rFonts w:cstheme="minorHAnsi"/>
        </w:rPr>
        <w:t>ne u odnosu na početak godine. 9</w:t>
      </w:r>
      <w:r w:rsidR="00E571A1" w:rsidRPr="00E571A1">
        <w:rPr>
          <w:rFonts w:cstheme="minorHAnsi"/>
        </w:rPr>
        <w:t>5,2</w:t>
      </w:r>
      <w:r w:rsidRPr="00E571A1">
        <w:rPr>
          <w:rFonts w:cstheme="minorHAnsi"/>
        </w:rPr>
        <w:t xml:space="preserve">% ukupnih obveza čine obveze za zaposlene, </w:t>
      </w:r>
      <w:r w:rsidR="00E571A1" w:rsidRPr="00E571A1">
        <w:rPr>
          <w:rFonts w:cstheme="minorHAnsi"/>
        </w:rPr>
        <w:t>4,3</w:t>
      </w:r>
      <w:r w:rsidRPr="00E571A1">
        <w:rPr>
          <w:rFonts w:cstheme="minorHAnsi"/>
        </w:rPr>
        <w:t xml:space="preserve">% čine obveze za materijalne rashode, a </w:t>
      </w:r>
      <w:r w:rsidR="00E571A1" w:rsidRPr="00E571A1">
        <w:rPr>
          <w:rFonts w:cstheme="minorHAnsi"/>
        </w:rPr>
        <w:t>0,5</w:t>
      </w:r>
      <w:r w:rsidRPr="00E571A1">
        <w:rPr>
          <w:rFonts w:cstheme="minorHAnsi"/>
        </w:rPr>
        <w:t xml:space="preserve">% za financijske  rashode. Obveze za </w:t>
      </w:r>
      <w:r w:rsidRPr="00E571A1">
        <w:rPr>
          <w:rFonts w:cstheme="minorHAnsi"/>
        </w:rPr>
        <w:lastRenderedPageBreak/>
        <w:t xml:space="preserve">zaposlene su </w:t>
      </w:r>
      <w:r w:rsidR="00E571A1" w:rsidRPr="00E571A1">
        <w:rPr>
          <w:rFonts w:cstheme="minorHAnsi"/>
        </w:rPr>
        <w:t>uvećane</w:t>
      </w:r>
      <w:r w:rsidRPr="00E571A1">
        <w:rPr>
          <w:rFonts w:cstheme="minorHAnsi"/>
        </w:rPr>
        <w:t xml:space="preserve"> za </w:t>
      </w:r>
      <w:r w:rsidR="00E571A1" w:rsidRPr="00E571A1">
        <w:rPr>
          <w:rFonts w:cstheme="minorHAnsi"/>
        </w:rPr>
        <w:t>77</w:t>
      </w:r>
      <w:r w:rsidRPr="00E571A1">
        <w:rPr>
          <w:rFonts w:cstheme="minorHAnsi"/>
        </w:rPr>
        <w:t xml:space="preserve">% u odnosu na početak godine zbog </w:t>
      </w:r>
      <w:r w:rsidR="00E571A1" w:rsidRPr="00E571A1">
        <w:rPr>
          <w:rFonts w:cstheme="minorHAnsi"/>
        </w:rPr>
        <w:t>povratka djelatnice</w:t>
      </w:r>
      <w:r w:rsidRPr="00E571A1">
        <w:rPr>
          <w:rFonts w:cstheme="minorHAnsi"/>
        </w:rPr>
        <w:t xml:space="preserve"> </w:t>
      </w:r>
      <w:r w:rsidR="00E571A1" w:rsidRPr="00E571A1">
        <w:rPr>
          <w:rFonts w:cstheme="minorHAnsi"/>
        </w:rPr>
        <w:t>sa</w:t>
      </w:r>
      <w:r w:rsidRPr="00E571A1">
        <w:rPr>
          <w:rFonts w:cstheme="minorHAnsi"/>
        </w:rPr>
        <w:t xml:space="preserve"> </w:t>
      </w:r>
      <w:r w:rsidR="00E571A1" w:rsidRPr="00E571A1">
        <w:rPr>
          <w:rFonts w:cstheme="minorHAnsi"/>
        </w:rPr>
        <w:t>porodiljnog dopusta</w:t>
      </w:r>
      <w:r w:rsidRPr="00E571A1">
        <w:rPr>
          <w:rFonts w:cstheme="minorHAnsi"/>
        </w:rPr>
        <w:t xml:space="preserve">. </w:t>
      </w:r>
      <w:r w:rsidR="00C255CA">
        <w:rPr>
          <w:rFonts w:cstheme="minorHAnsi"/>
        </w:rPr>
        <w:t>99</w:t>
      </w:r>
      <w:r w:rsidR="00E571A1" w:rsidRPr="00E571A1">
        <w:rPr>
          <w:rFonts w:cstheme="minorHAnsi"/>
        </w:rPr>
        <w:t>%</w:t>
      </w:r>
      <w:r w:rsidRPr="00E571A1">
        <w:rPr>
          <w:rFonts w:cstheme="minorHAnsi"/>
        </w:rPr>
        <w:t xml:space="preserve"> obvez</w:t>
      </w:r>
      <w:r w:rsidR="00E571A1" w:rsidRPr="00E571A1">
        <w:rPr>
          <w:rFonts w:cstheme="minorHAnsi"/>
        </w:rPr>
        <w:t>a</w:t>
      </w:r>
      <w:r w:rsidRPr="00E571A1">
        <w:rPr>
          <w:rFonts w:cstheme="minorHAnsi"/>
        </w:rPr>
        <w:t xml:space="preserve"> za rashode poslovanja spada u nedospjele obveze.</w:t>
      </w:r>
      <w:r w:rsidR="00E571A1" w:rsidRPr="00E571A1">
        <w:rPr>
          <w:rFonts w:cstheme="minorHAnsi"/>
        </w:rPr>
        <w:t xml:space="preserve"> </w:t>
      </w:r>
      <w:r w:rsidRPr="00E571A1">
        <w:rPr>
          <w:rFonts w:cstheme="minorHAnsi"/>
        </w:rPr>
        <w:t xml:space="preserve">Redovito se podmiruju zahvaljujući uplatama osnivača, odnosno pravovremenim financiranjem rashoda poslovanja od nadležnog proračuna, te su sve podmirene do dana predaje ovih izvještaja. </w:t>
      </w:r>
    </w:p>
    <w:p w14:paraId="0DF1F99B" w14:textId="77777777" w:rsidR="006F472C" w:rsidRPr="009F08D9" w:rsidRDefault="006F472C" w:rsidP="006F472C">
      <w:pPr>
        <w:spacing w:after="0"/>
        <w:jc w:val="center"/>
        <w:rPr>
          <w:rFonts w:cstheme="minorHAnsi"/>
          <w:i/>
          <w:iCs/>
        </w:rPr>
      </w:pPr>
    </w:p>
    <w:p w14:paraId="170169C1" w14:textId="77777777" w:rsidR="006F472C" w:rsidRPr="009F08D9" w:rsidRDefault="006F472C" w:rsidP="006F472C">
      <w:pPr>
        <w:spacing w:after="0"/>
        <w:jc w:val="center"/>
        <w:rPr>
          <w:rFonts w:cstheme="minorHAnsi"/>
          <w:i/>
          <w:iCs/>
        </w:rPr>
      </w:pPr>
      <w:r w:rsidRPr="009F08D9">
        <w:rPr>
          <w:rFonts w:cstheme="minorHAnsi"/>
          <w:i/>
          <w:iCs/>
        </w:rPr>
        <w:t>Bilješka 4. uz šifru 9 – Vlastiti izvori</w:t>
      </w:r>
    </w:p>
    <w:p w14:paraId="2C42DEAA" w14:textId="112753BB" w:rsidR="006F472C" w:rsidRPr="009F08D9" w:rsidRDefault="006F472C" w:rsidP="006F472C">
      <w:pPr>
        <w:spacing w:after="0"/>
        <w:jc w:val="both"/>
        <w:rPr>
          <w:rFonts w:cstheme="minorHAnsi"/>
        </w:rPr>
      </w:pPr>
      <w:r w:rsidRPr="009F08D9">
        <w:rPr>
          <w:rFonts w:cstheme="minorHAnsi"/>
        </w:rPr>
        <w:t>Vlastiti izvori su u</w:t>
      </w:r>
      <w:r w:rsidR="00B51565" w:rsidRPr="009F08D9">
        <w:rPr>
          <w:rFonts w:cstheme="minorHAnsi"/>
        </w:rPr>
        <w:t>manje</w:t>
      </w:r>
      <w:r w:rsidRPr="009F08D9">
        <w:rPr>
          <w:rFonts w:cstheme="minorHAnsi"/>
        </w:rPr>
        <w:t xml:space="preserve">ni za </w:t>
      </w:r>
      <w:r w:rsidR="00B51565" w:rsidRPr="009F08D9">
        <w:rPr>
          <w:rFonts w:cstheme="minorHAnsi"/>
        </w:rPr>
        <w:t>8,8</w:t>
      </w:r>
      <w:r w:rsidRPr="009F08D9">
        <w:rPr>
          <w:rFonts w:cstheme="minorHAnsi"/>
        </w:rPr>
        <w:t>% u odnosu na početak izvještajnog razdoblja</w:t>
      </w:r>
      <w:r w:rsidR="00B51565" w:rsidRPr="009F08D9">
        <w:rPr>
          <w:rFonts w:cstheme="minorHAnsi"/>
        </w:rPr>
        <w:t xml:space="preserve">. Tijekom 2024. godine </w:t>
      </w:r>
      <w:r w:rsidRPr="009F08D9">
        <w:rPr>
          <w:rFonts w:cstheme="minorHAnsi"/>
        </w:rPr>
        <w:t>nabav</w:t>
      </w:r>
      <w:r w:rsidR="00B51565" w:rsidRPr="009F08D9">
        <w:rPr>
          <w:rFonts w:cstheme="minorHAnsi"/>
        </w:rPr>
        <w:t xml:space="preserve">ljena je nova </w:t>
      </w:r>
      <w:r w:rsidRPr="009F08D9">
        <w:rPr>
          <w:rFonts w:cstheme="minorHAnsi"/>
        </w:rPr>
        <w:t>knjižn</w:t>
      </w:r>
      <w:r w:rsidR="00B51565" w:rsidRPr="009F08D9">
        <w:rPr>
          <w:rFonts w:cstheme="minorHAnsi"/>
        </w:rPr>
        <w:t>a</w:t>
      </w:r>
      <w:r w:rsidRPr="009F08D9">
        <w:rPr>
          <w:rFonts w:cstheme="minorHAnsi"/>
        </w:rPr>
        <w:t xml:space="preserve"> građ</w:t>
      </w:r>
      <w:r w:rsidR="00B51565" w:rsidRPr="009F08D9">
        <w:rPr>
          <w:rFonts w:cstheme="minorHAnsi"/>
        </w:rPr>
        <w:t xml:space="preserve">a koja je </w:t>
      </w:r>
      <w:r w:rsidRPr="009F08D9">
        <w:rPr>
          <w:rFonts w:cstheme="minorHAnsi"/>
        </w:rPr>
        <w:t xml:space="preserve">financirana </w:t>
      </w:r>
      <w:r w:rsidR="009938FA" w:rsidRPr="009F08D9">
        <w:rPr>
          <w:rFonts w:cstheme="minorHAnsi"/>
        </w:rPr>
        <w:t>iz</w:t>
      </w:r>
      <w:r w:rsidRPr="009F08D9">
        <w:rPr>
          <w:rFonts w:cstheme="minorHAnsi"/>
        </w:rPr>
        <w:t xml:space="preserve"> pomoći Ministarstva kulture i </w:t>
      </w:r>
      <w:r w:rsidR="00B51565" w:rsidRPr="009F08D9">
        <w:rPr>
          <w:rFonts w:cstheme="minorHAnsi"/>
        </w:rPr>
        <w:t xml:space="preserve">iz općih prihoda </w:t>
      </w:r>
      <w:r w:rsidR="009938FA" w:rsidRPr="009F08D9">
        <w:rPr>
          <w:rFonts w:cstheme="minorHAnsi"/>
        </w:rPr>
        <w:t>od</w:t>
      </w:r>
      <w:r w:rsidRPr="009F08D9">
        <w:rPr>
          <w:rFonts w:cstheme="minorHAnsi"/>
        </w:rPr>
        <w:t xml:space="preserve"> nadležnog proračuna. </w:t>
      </w:r>
      <w:r w:rsidR="00B51565" w:rsidRPr="009F08D9">
        <w:rPr>
          <w:rFonts w:cstheme="minorHAnsi"/>
        </w:rPr>
        <w:t xml:space="preserve">Ti </w:t>
      </w:r>
      <w:r w:rsidR="009938FA" w:rsidRPr="009F08D9">
        <w:rPr>
          <w:rFonts w:cstheme="minorHAnsi"/>
        </w:rPr>
        <w:t>prihodi</w:t>
      </w:r>
      <w:r w:rsidR="00B51565" w:rsidRPr="009F08D9">
        <w:rPr>
          <w:rFonts w:cstheme="minorHAnsi"/>
        </w:rPr>
        <w:t xml:space="preserve"> su </w:t>
      </w:r>
      <w:r w:rsidRPr="009F08D9">
        <w:rPr>
          <w:rFonts w:cstheme="minorHAnsi"/>
        </w:rPr>
        <w:t>evidentirani na računima kapitalnih prijenosa</w:t>
      </w:r>
      <w:r w:rsidR="00B51565" w:rsidRPr="009F08D9">
        <w:rPr>
          <w:rFonts w:cstheme="minorHAnsi"/>
        </w:rPr>
        <w:t xml:space="preserve">, te su u istom izvještajnom razdoblju </w:t>
      </w:r>
      <w:r w:rsidRPr="009F08D9">
        <w:rPr>
          <w:rFonts w:cstheme="minorHAnsi"/>
        </w:rPr>
        <w:t>i utrošeni za nabavu dugotrajne nefinancijske imovine, i to:</w:t>
      </w:r>
    </w:p>
    <w:p w14:paraId="1C64F986" w14:textId="7AAAB189" w:rsidR="006F472C" w:rsidRPr="009F08D9" w:rsidRDefault="006F472C" w:rsidP="006F472C">
      <w:pPr>
        <w:pStyle w:val="Odlomakpopisa"/>
        <w:numPr>
          <w:ilvl w:val="0"/>
          <w:numId w:val="2"/>
        </w:numPr>
        <w:spacing w:after="0" w:line="240" w:lineRule="auto"/>
        <w:jc w:val="both"/>
        <w:rPr>
          <w:rFonts w:cstheme="minorHAnsi"/>
        </w:rPr>
      </w:pPr>
      <w:r w:rsidRPr="009F08D9">
        <w:rPr>
          <w:rFonts w:cstheme="minorHAnsi"/>
        </w:rPr>
        <w:t>63321</w:t>
      </w:r>
      <w:r w:rsidRPr="009F08D9">
        <w:rPr>
          <w:rFonts w:cstheme="minorHAnsi"/>
        </w:rPr>
        <w:tab/>
        <w:t xml:space="preserve">Kapitalne pomoći iz državnog proračuna u iznosu od </w:t>
      </w:r>
      <w:r w:rsidR="009938FA" w:rsidRPr="009F08D9">
        <w:rPr>
          <w:rFonts w:cstheme="minorHAnsi"/>
        </w:rPr>
        <w:t>2.700,00</w:t>
      </w:r>
      <w:r w:rsidRPr="009F08D9">
        <w:rPr>
          <w:rFonts w:cstheme="minorHAnsi"/>
        </w:rPr>
        <w:t>€</w:t>
      </w:r>
    </w:p>
    <w:p w14:paraId="68C55462" w14:textId="2496FBF2" w:rsidR="006F472C" w:rsidRPr="009F08D9" w:rsidRDefault="006F472C" w:rsidP="006F472C">
      <w:pPr>
        <w:pStyle w:val="Odlomakpopisa"/>
        <w:numPr>
          <w:ilvl w:val="0"/>
          <w:numId w:val="2"/>
        </w:numPr>
        <w:spacing w:after="0" w:line="240" w:lineRule="auto"/>
        <w:jc w:val="both"/>
        <w:rPr>
          <w:rFonts w:cstheme="minorHAnsi"/>
        </w:rPr>
      </w:pPr>
      <w:r w:rsidRPr="009F08D9">
        <w:rPr>
          <w:rFonts w:cstheme="minorHAnsi"/>
        </w:rPr>
        <w:t>67121</w:t>
      </w:r>
      <w:r w:rsidRPr="009F08D9">
        <w:rPr>
          <w:rFonts w:cstheme="minorHAnsi"/>
        </w:rPr>
        <w:tab/>
        <w:t xml:space="preserve">Prihodi iz nadležnog proračuna za financiranje rashoda za nabavu nefinancijske imovine u iznosu od </w:t>
      </w:r>
      <w:r w:rsidR="009938FA" w:rsidRPr="009F08D9">
        <w:rPr>
          <w:rFonts w:cstheme="minorHAnsi"/>
        </w:rPr>
        <w:t>1.534,53</w:t>
      </w:r>
      <w:r w:rsidRPr="009F08D9">
        <w:rPr>
          <w:rFonts w:cstheme="minorHAnsi"/>
        </w:rPr>
        <w:t xml:space="preserve">€ </w:t>
      </w:r>
    </w:p>
    <w:p w14:paraId="7543111C" w14:textId="6EC169A7" w:rsidR="006F472C" w:rsidRPr="009F08D9" w:rsidRDefault="007E43FA" w:rsidP="006F472C">
      <w:pPr>
        <w:spacing w:after="0"/>
        <w:jc w:val="both"/>
        <w:rPr>
          <w:rFonts w:cstheme="minorHAnsi"/>
        </w:rPr>
      </w:pPr>
      <w:r>
        <w:rPr>
          <w:rFonts w:cstheme="minorHAnsi"/>
        </w:rPr>
        <w:t>P</w:t>
      </w:r>
      <w:r w:rsidR="006F472C" w:rsidRPr="009F08D9">
        <w:rPr>
          <w:rFonts w:cstheme="minorHAnsi"/>
        </w:rPr>
        <w:t>rovedena</w:t>
      </w:r>
      <w:r w:rsidR="009938FA" w:rsidRPr="009F08D9">
        <w:rPr>
          <w:rFonts w:cstheme="minorHAnsi"/>
        </w:rPr>
        <w:t xml:space="preserve"> je prva</w:t>
      </w:r>
      <w:r w:rsidR="006F472C" w:rsidRPr="009F08D9">
        <w:rPr>
          <w:rFonts w:cstheme="minorHAnsi"/>
        </w:rPr>
        <w:t xml:space="preserve"> korekcija rezultata na način da se je za vrijednost </w:t>
      </w:r>
      <w:r w:rsidR="009938FA" w:rsidRPr="009F08D9">
        <w:rPr>
          <w:rFonts w:cstheme="minorHAnsi"/>
        </w:rPr>
        <w:t xml:space="preserve">ostvarene </w:t>
      </w:r>
      <w:r w:rsidR="006F472C" w:rsidRPr="009F08D9">
        <w:rPr>
          <w:rFonts w:cstheme="minorHAnsi"/>
        </w:rPr>
        <w:t>nabave imovine tijekom 202</w:t>
      </w:r>
      <w:r w:rsidR="009938FA" w:rsidRPr="009F08D9">
        <w:rPr>
          <w:rFonts w:cstheme="minorHAnsi"/>
        </w:rPr>
        <w:t>4</w:t>
      </w:r>
      <w:r w:rsidR="006F472C" w:rsidRPr="009F08D9">
        <w:rPr>
          <w:rFonts w:cstheme="minorHAnsi"/>
        </w:rPr>
        <w:t>. godine u iznosu od 4.</w:t>
      </w:r>
      <w:r w:rsidR="009938FA" w:rsidRPr="009F08D9">
        <w:rPr>
          <w:rFonts w:cstheme="minorHAnsi"/>
        </w:rPr>
        <w:t>234,53</w:t>
      </w:r>
      <w:r w:rsidR="006F472C" w:rsidRPr="009F08D9">
        <w:rPr>
          <w:rFonts w:cstheme="minorHAnsi"/>
        </w:rPr>
        <w:t>€ zadužio račun viška prihoda poslovanja, a odobrio račun manjka prihoda od nefinancijske imovine.</w:t>
      </w:r>
    </w:p>
    <w:p w14:paraId="28F45363" w14:textId="77777777" w:rsidR="006F472C" w:rsidRPr="009F08D9" w:rsidRDefault="006F472C" w:rsidP="006F472C">
      <w:pPr>
        <w:spacing w:after="0"/>
        <w:jc w:val="both"/>
        <w:rPr>
          <w:rFonts w:cstheme="minorHAnsi"/>
        </w:rPr>
      </w:pPr>
    </w:p>
    <w:tbl>
      <w:tblPr>
        <w:tblStyle w:val="Reetkatablice"/>
        <w:tblW w:w="0" w:type="auto"/>
        <w:tblLook w:val="04A0" w:firstRow="1" w:lastRow="0" w:firstColumn="1" w:lastColumn="0" w:noHBand="0" w:noVBand="1"/>
      </w:tblPr>
      <w:tblGrid>
        <w:gridCol w:w="818"/>
        <w:gridCol w:w="2763"/>
        <w:gridCol w:w="1041"/>
        <w:gridCol w:w="1053"/>
        <w:gridCol w:w="1127"/>
        <w:gridCol w:w="1041"/>
        <w:gridCol w:w="1219"/>
      </w:tblGrid>
      <w:tr w:rsidR="007E43FA" w:rsidRPr="009F08D9" w14:paraId="721B56BB" w14:textId="77777777" w:rsidTr="007E43FA">
        <w:trPr>
          <w:trHeight w:val="248"/>
        </w:trPr>
        <w:tc>
          <w:tcPr>
            <w:tcW w:w="818" w:type="dxa"/>
            <w:vMerge w:val="restart"/>
          </w:tcPr>
          <w:p w14:paraId="01634C61" w14:textId="77777777" w:rsidR="007E43FA" w:rsidRPr="009F08D9" w:rsidRDefault="007E43FA" w:rsidP="00C9533D">
            <w:pPr>
              <w:jc w:val="center"/>
              <w:rPr>
                <w:b/>
                <w:bCs/>
                <w:sz w:val="20"/>
                <w:szCs w:val="20"/>
              </w:rPr>
            </w:pPr>
            <w:r w:rsidRPr="009F08D9">
              <w:rPr>
                <w:b/>
                <w:bCs/>
                <w:sz w:val="20"/>
                <w:szCs w:val="20"/>
              </w:rPr>
              <w:t>RAČUN</w:t>
            </w:r>
          </w:p>
        </w:tc>
        <w:tc>
          <w:tcPr>
            <w:tcW w:w="2763" w:type="dxa"/>
            <w:vMerge w:val="restart"/>
          </w:tcPr>
          <w:p w14:paraId="5975D112" w14:textId="77777777" w:rsidR="007E43FA" w:rsidRPr="009F08D9" w:rsidRDefault="007E43FA" w:rsidP="00C9533D">
            <w:pPr>
              <w:jc w:val="center"/>
              <w:rPr>
                <w:b/>
                <w:bCs/>
                <w:sz w:val="20"/>
                <w:szCs w:val="20"/>
              </w:rPr>
            </w:pPr>
            <w:r w:rsidRPr="009F08D9">
              <w:rPr>
                <w:b/>
                <w:bCs/>
                <w:sz w:val="20"/>
                <w:szCs w:val="20"/>
              </w:rPr>
              <w:t>POZICIJE 31.12.2024</w:t>
            </w:r>
          </w:p>
        </w:tc>
        <w:tc>
          <w:tcPr>
            <w:tcW w:w="2094" w:type="dxa"/>
            <w:gridSpan w:val="2"/>
          </w:tcPr>
          <w:p w14:paraId="17E28359" w14:textId="77777777" w:rsidR="007E43FA" w:rsidRPr="009F08D9" w:rsidRDefault="007E43FA" w:rsidP="00C9533D">
            <w:pPr>
              <w:jc w:val="center"/>
              <w:rPr>
                <w:b/>
                <w:bCs/>
                <w:sz w:val="20"/>
                <w:szCs w:val="20"/>
              </w:rPr>
            </w:pPr>
            <w:r w:rsidRPr="009F08D9">
              <w:rPr>
                <w:b/>
                <w:bCs/>
                <w:sz w:val="20"/>
                <w:szCs w:val="20"/>
              </w:rPr>
              <w:t>PR-RAS</w:t>
            </w:r>
          </w:p>
        </w:tc>
        <w:tc>
          <w:tcPr>
            <w:tcW w:w="1127" w:type="dxa"/>
            <w:vMerge w:val="restart"/>
          </w:tcPr>
          <w:p w14:paraId="67D5AA2C" w14:textId="77777777" w:rsidR="007E43FA" w:rsidRPr="009F08D9" w:rsidRDefault="007E43FA" w:rsidP="00C9533D">
            <w:pPr>
              <w:jc w:val="center"/>
              <w:rPr>
                <w:b/>
                <w:bCs/>
                <w:sz w:val="20"/>
                <w:szCs w:val="20"/>
              </w:rPr>
            </w:pPr>
            <w:r w:rsidRPr="009F08D9">
              <w:rPr>
                <w:b/>
                <w:bCs/>
                <w:sz w:val="20"/>
                <w:szCs w:val="20"/>
              </w:rPr>
              <w:t>KOREKCIJA 1.</w:t>
            </w:r>
          </w:p>
        </w:tc>
        <w:tc>
          <w:tcPr>
            <w:tcW w:w="2260" w:type="dxa"/>
            <w:gridSpan w:val="2"/>
          </w:tcPr>
          <w:p w14:paraId="0AEE46B5" w14:textId="49C39B65" w:rsidR="007E43FA" w:rsidRPr="009F08D9" w:rsidRDefault="007E43FA" w:rsidP="00C9533D">
            <w:pPr>
              <w:jc w:val="center"/>
              <w:rPr>
                <w:b/>
                <w:bCs/>
                <w:sz w:val="20"/>
                <w:szCs w:val="20"/>
              </w:rPr>
            </w:pPr>
            <w:r w:rsidRPr="009F08D9">
              <w:rPr>
                <w:b/>
                <w:bCs/>
                <w:sz w:val="20"/>
                <w:szCs w:val="20"/>
              </w:rPr>
              <w:t>BILANCA</w:t>
            </w:r>
          </w:p>
        </w:tc>
      </w:tr>
      <w:tr w:rsidR="007E43FA" w:rsidRPr="009F08D9" w14:paraId="1EC6DC16" w14:textId="77777777" w:rsidTr="007E43FA">
        <w:trPr>
          <w:trHeight w:val="247"/>
        </w:trPr>
        <w:tc>
          <w:tcPr>
            <w:tcW w:w="818" w:type="dxa"/>
            <w:vMerge/>
          </w:tcPr>
          <w:p w14:paraId="1DDB40FE" w14:textId="77777777" w:rsidR="007E43FA" w:rsidRPr="009F08D9" w:rsidRDefault="007E43FA" w:rsidP="007E43FA">
            <w:pPr>
              <w:jc w:val="center"/>
              <w:rPr>
                <w:b/>
                <w:bCs/>
                <w:sz w:val="20"/>
                <w:szCs w:val="20"/>
              </w:rPr>
            </w:pPr>
          </w:p>
        </w:tc>
        <w:tc>
          <w:tcPr>
            <w:tcW w:w="2763" w:type="dxa"/>
            <w:vMerge/>
          </w:tcPr>
          <w:p w14:paraId="7F5909E4" w14:textId="77777777" w:rsidR="007E43FA" w:rsidRPr="009F08D9" w:rsidRDefault="007E43FA" w:rsidP="007E43FA">
            <w:pPr>
              <w:jc w:val="center"/>
              <w:rPr>
                <w:b/>
                <w:bCs/>
                <w:sz w:val="20"/>
                <w:szCs w:val="20"/>
              </w:rPr>
            </w:pPr>
          </w:p>
        </w:tc>
        <w:tc>
          <w:tcPr>
            <w:tcW w:w="1041" w:type="dxa"/>
          </w:tcPr>
          <w:p w14:paraId="15DD63D2" w14:textId="77777777" w:rsidR="007E43FA" w:rsidRPr="009F08D9" w:rsidRDefault="007E43FA" w:rsidP="007E43FA">
            <w:pPr>
              <w:jc w:val="center"/>
              <w:rPr>
                <w:b/>
                <w:bCs/>
                <w:sz w:val="20"/>
                <w:szCs w:val="20"/>
              </w:rPr>
            </w:pPr>
            <w:r w:rsidRPr="009F08D9">
              <w:rPr>
                <w:b/>
                <w:bCs/>
                <w:sz w:val="20"/>
                <w:szCs w:val="20"/>
              </w:rPr>
              <w:t>preneseni</w:t>
            </w:r>
          </w:p>
        </w:tc>
        <w:tc>
          <w:tcPr>
            <w:tcW w:w="1053" w:type="dxa"/>
          </w:tcPr>
          <w:p w14:paraId="694B29A8" w14:textId="41606772" w:rsidR="007E43FA" w:rsidRPr="009F08D9" w:rsidRDefault="007E43FA" w:rsidP="007E43FA">
            <w:pPr>
              <w:jc w:val="center"/>
              <w:rPr>
                <w:b/>
                <w:bCs/>
                <w:sz w:val="20"/>
                <w:szCs w:val="20"/>
              </w:rPr>
            </w:pPr>
            <w:r w:rsidRPr="009F08D9">
              <w:rPr>
                <w:b/>
                <w:bCs/>
                <w:sz w:val="20"/>
                <w:szCs w:val="20"/>
              </w:rPr>
              <w:t>202</w:t>
            </w:r>
            <w:r>
              <w:rPr>
                <w:b/>
                <w:bCs/>
                <w:sz w:val="20"/>
                <w:szCs w:val="20"/>
              </w:rPr>
              <w:t>4</w:t>
            </w:r>
          </w:p>
        </w:tc>
        <w:tc>
          <w:tcPr>
            <w:tcW w:w="1127" w:type="dxa"/>
            <w:vMerge/>
          </w:tcPr>
          <w:p w14:paraId="0389FEFB" w14:textId="77777777" w:rsidR="007E43FA" w:rsidRPr="009F08D9" w:rsidRDefault="007E43FA" w:rsidP="007E43FA">
            <w:pPr>
              <w:jc w:val="center"/>
              <w:rPr>
                <w:b/>
                <w:bCs/>
                <w:sz w:val="20"/>
                <w:szCs w:val="20"/>
              </w:rPr>
            </w:pPr>
          </w:p>
        </w:tc>
        <w:tc>
          <w:tcPr>
            <w:tcW w:w="1041" w:type="dxa"/>
          </w:tcPr>
          <w:p w14:paraId="5D66E84B" w14:textId="16352E3E" w:rsidR="007E43FA" w:rsidRPr="009F08D9" w:rsidRDefault="007E43FA" w:rsidP="007E43FA">
            <w:pPr>
              <w:jc w:val="center"/>
              <w:rPr>
                <w:b/>
                <w:bCs/>
                <w:sz w:val="20"/>
                <w:szCs w:val="20"/>
              </w:rPr>
            </w:pPr>
            <w:r w:rsidRPr="009F08D9">
              <w:rPr>
                <w:b/>
                <w:bCs/>
                <w:sz w:val="20"/>
                <w:szCs w:val="20"/>
              </w:rPr>
              <w:t>preneseni</w:t>
            </w:r>
          </w:p>
        </w:tc>
        <w:tc>
          <w:tcPr>
            <w:tcW w:w="1219" w:type="dxa"/>
          </w:tcPr>
          <w:p w14:paraId="60079AB4" w14:textId="113BAC49" w:rsidR="007E43FA" w:rsidRPr="009F08D9" w:rsidRDefault="007E43FA" w:rsidP="007E43FA">
            <w:pPr>
              <w:jc w:val="center"/>
              <w:rPr>
                <w:b/>
                <w:bCs/>
                <w:sz w:val="20"/>
                <w:szCs w:val="20"/>
              </w:rPr>
            </w:pPr>
            <w:r w:rsidRPr="009F08D9">
              <w:rPr>
                <w:b/>
                <w:bCs/>
                <w:sz w:val="20"/>
                <w:szCs w:val="20"/>
              </w:rPr>
              <w:t>202</w:t>
            </w:r>
            <w:r>
              <w:rPr>
                <w:b/>
                <w:bCs/>
                <w:sz w:val="20"/>
                <w:szCs w:val="20"/>
              </w:rPr>
              <w:t>4</w:t>
            </w:r>
          </w:p>
        </w:tc>
      </w:tr>
      <w:tr w:rsidR="007E43FA" w:rsidRPr="007E43FA" w14:paraId="26DE2FC2" w14:textId="77777777" w:rsidTr="007E43FA">
        <w:tc>
          <w:tcPr>
            <w:tcW w:w="818" w:type="dxa"/>
          </w:tcPr>
          <w:p w14:paraId="4DF5F2A9" w14:textId="77777777" w:rsidR="007E43FA" w:rsidRPr="007E43FA" w:rsidRDefault="007E43FA" w:rsidP="00C9533D">
            <w:pPr>
              <w:jc w:val="both"/>
              <w:rPr>
                <w:sz w:val="20"/>
                <w:szCs w:val="20"/>
              </w:rPr>
            </w:pPr>
            <w:r w:rsidRPr="007E43FA">
              <w:rPr>
                <w:sz w:val="20"/>
                <w:szCs w:val="20"/>
              </w:rPr>
              <w:t>92211</w:t>
            </w:r>
          </w:p>
        </w:tc>
        <w:tc>
          <w:tcPr>
            <w:tcW w:w="2763" w:type="dxa"/>
          </w:tcPr>
          <w:p w14:paraId="6F6B1FD9" w14:textId="77777777" w:rsidR="007E43FA" w:rsidRPr="007E43FA" w:rsidRDefault="007E43FA" w:rsidP="00C9533D">
            <w:pPr>
              <w:jc w:val="both"/>
              <w:rPr>
                <w:sz w:val="20"/>
                <w:szCs w:val="20"/>
              </w:rPr>
            </w:pPr>
            <w:r w:rsidRPr="007E43FA">
              <w:rPr>
                <w:sz w:val="20"/>
                <w:szCs w:val="20"/>
              </w:rPr>
              <w:t>Višak prihoda poslovanja</w:t>
            </w:r>
          </w:p>
        </w:tc>
        <w:tc>
          <w:tcPr>
            <w:tcW w:w="1041" w:type="dxa"/>
          </w:tcPr>
          <w:p w14:paraId="7BB1BB98" w14:textId="6E4B301D" w:rsidR="007E43FA" w:rsidRPr="007E43FA" w:rsidRDefault="007E43FA" w:rsidP="00C9533D">
            <w:pPr>
              <w:jc w:val="right"/>
              <w:rPr>
                <w:sz w:val="20"/>
                <w:szCs w:val="20"/>
              </w:rPr>
            </w:pPr>
          </w:p>
        </w:tc>
        <w:tc>
          <w:tcPr>
            <w:tcW w:w="1053" w:type="dxa"/>
          </w:tcPr>
          <w:p w14:paraId="6C76A87B" w14:textId="5E828135" w:rsidR="007E43FA" w:rsidRPr="007E43FA" w:rsidRDefault="007E43FA" w:rsidP="00C9533D">
            <w:pPr>
              <w:jc w:val="right"/>
              <w:rPr>
                <w:sz w:val="20"/>
                <w:szCs w:val="20"/>
              </w:rPr>
            </w:pPr>
            <w:r w:rsidRPr="007E43FA">
              <w:rPr>
                <w:sz w:val="20"/>
                <w:szCs w:val="20"/>
              </w:rPr>
              <w:t>+2.623,74</w:t>
            </w:r>
          </w:p>
        </w:tc>
        <w:tc>
          <w:tcPr>
            <w:tcW w:w="1127" w:type="dxa"/>
          </w:tcPr>
          <w:p w14:paraId="1F2A770A" w14:textId="40032739" w:rsidR="007E43FA" w:rsidRPr="007E43FA" w:rsidRDefault="007E43FA" w:rsidP="00C9533D">
            <w:pPr>
              <w:jc w:val="right"/>
              <w:rPr>
                <w:sz w:val="20"/>
                <w:szCs w:val="20"/>
              </w:rPr>
            </w:pPr>
            <w:r w:rsidRPr="007E43FA">
              <w:rPr>
                <w:sz w:val="20"/>
                <w:szCs w:val="20"/>
              </w:rPr>
              <w:t>-4.234,53</w:t>
            </w:r>
          </w:p>
        </w:tc>
        <w:tc>
          <w:tcPr>
            <w:tcW w:w="1041" w:type="dxa"/>
          </w:tcPr>
          <w:p w14:paraId="6FD8436F" w14:textId="77777777" w:rsidR="007E43FA" w:rsidRPr="007E43FA" w:rsidRDefault="007E43FA" w:rsidP="00C9533D">
            <w:pPr>
              <w:jc w:val="right"/>
              <w:rPr>
                <w:sz w:val="20"/>
                <w:szCs w:val="20"/>
              </w:rPr>
            </w:pPr>
          </w:p>
        </w:tc>
        <w:tc>
          <w:tcPr>
            <w:tcW w:w="1219" w:type="dxa"/>
          </w:tcPr>
          <w:p w14:paraId="3B2573F4" w14:textId="24D08356" w:rsidR="007E43FA" w:rsidRPr="007E43FA" w:rsidRDefault="007E43FA" w:rsidP="00C9533D">
            <w:pPr>
              <w:jc w:val="right"/>
              <w:rPr>
                <w:sz w:val="20"/>
                <w:szCs w:val="20"/>
              </w:rPr>
            </w:pPr>
          </w:p>
        </w:tc>
      </w:tr>
      <w:tr w:rsidR="007E43FA" w:rsidRPr="007E43FA" w14:paraId="4D86A844" w14:textId="77777777" w:rsidTr="007E43FA">
        <w:tc>
          <w:tcPr>
            <w:tcW w:w="818" w:type="dxa"/>
          </w:tcPr>
          <w:p w14:paraId="34DAF055" w14:textId="77777777" w:rsidR="007E43FA" w:rsidRPr="007E43FA" w:rsidRDefault="007E43FA" w:rsidP="00C9533D">
            <w:pPr>
              <w:jc w:val="both"/>
              <w:rPr>
                <w:sz w:val="20"/>
                <w:szCs w:val="20"/>
              </w:rPr>
            </w:pPr>
            <w:r w:rsidRPr="007E43FA">
              <w:rPr>
                <w:sz w:val="20"/>
                <w:szCs w:val="20"/>
              </w:rPr>
              <w:t>92221</w:t>
            </w:r>
          </w:p>
        </w:tc>
        <w:tc>
          <w:tcPr>
            <w:tcW w:w="2763" w:type="dxa"/>
          </w:tcPr>
          <w:p w14:paraId="4E42B1F6" w14:textId="77777777" w:rsidR="007E43FA" w:rsidRPr="007E43FA" w:rsidRDefault="007E43FA" w:rsidP="00C9533D">
            <w:pPr>
              <w:jc w:val="both"/>
              <w:rPr>
                <w:sz w:val="20"/>
                <w:szCs w:val="20"/>
              </w:rPr>
            </w:pPr>
            <w:r w:rsidRPr="007E43FA">
              <w:rPr>
                <w:sz w:val="20"/>
                <w:szCs w:val="20"/>
              </w:rPr>
              <w:t>Manjak prihoda poslovanja</w:t>
            </w:r>
          </w:p>
        </w:tc>
        <w:tc>
          <w:tcPr>
            <w:tcW w:w="1041" w:type="dxa"/>
          </w:tcPr>
          <w:p w14:paraId="6FB21656" w14:textId="5581B960" w:rsidR="007E43FA" w:rsidRPr="007E43FA" w:rsidRDefault="007E43FA" w:rsidP="00C9533D">
            <w:pPr>
              <w:jc w:val="right"/>
              <w:rPr>
                <w:sz w:val="20"/>
                <w:szCs w:val="20"/>
              </w:rPr>
            </w:pPr>
          </w:p>
        </w:tc>
        <w:tc>
          <w:tcPr>
            <w:tcW w:w="1053" w:type="dxa"/>
          </w:tcPr>
          <w:p w14:paraId="1E0FD7A2" w14:textId="77777777" w:rsidR="007E43FA" w:rsidRPr="007E43FA" w:rsidRDefault="007E43FA" w:rsidP="00C9533D">
            <w:pPr>
              <w:jc w:val="right"/>
              <w:rPr>
                <w:sz w:val="20"/>
                <w:szCs w:val="20"/>
              </w:rPr>
            </w:pPr>
          </w:p>
        </w:tc>
        <w:tc>
          <w:tcPr>
            <w:tcW w:w="1127" w:type="dxa"/>
          </w:tcPr>
          <w:p w14:paraId="60D01507" w14:textId="77777777" w:rsidR="007E43FA" w:rsidRPr="007E43FA" w:rsidRDefault="007E43FA" w:rsidP="00C9533D">
            <w:pPr>
              <w:jc w:val="right"/>
              <w:rPr>
                <w:sz w:val="20"/>
                <w:szCs w:val="20"/>
              </w:rPr>
            </w:pPr>
          </w:p>
        </w:tc>
        <w:tc>
          <w:tcPr>
            <w:tcW w:w="1041" w:type="dxa"/>
          </w:tcPr>
          <w:p w14:paraId="508B14EE" w14:textId="77777777" w:rsidR="007E43FA" w:rsidRPr="007E43FA" w:rsidRDefault="007E43FA" w:rsidP="00C9533D">
            <w:pPr>
              <w:jc w:val="right"/>
              <w:rPr>
                <w:sz w:val="20"/>
                <w:szCs w:val="20"/>
              </w:rPr>
            </w:pPr>
          </w:p>
        </w:tc>
        <w:tc>
          <w:tcPr>
            <w:tcW w:w="1219" w:type="dxa"/>
          </w:tcPr>
          <w:p w14:paraId="29C389B5" w14:textId="569FEE70" w:rsidR="007E43FA" w:rsidRPr="007E43FA" w:rsidRDefault="007E43FA" w:rsidP="00C9533D">
            <w:pPr>
              <w:jc w:val="right"/>
              <w:rPr>
                <w:sz w:val="20"/>
                <w:szCs w:val="20"/>
              </w:rPr>
            </w:pPr>
            <w:r w:rsidRPr="007E43FA">
              <w:rPr>
                <w:sz w:val="20"/>
                <w:szCs w:val="20"/>
              </w:rPr>
              <w:t>-1.610,79</w:t>
            </w:r>
          </w:p>
        </w:tc>
      </w:tr>
      <w:tr w:rsidR="007E43FA" w:rsidRPr="007E43FA" w14:paraId="036E773D" w14:textId="77777777" w:rsidTr="007E43FA">
        <w:tc>
          <w:tcPr>
            <w:tcW w:w="818" w:type="dxa"/>
          </w:tcPr>
          <w:p w14:paraId="41F2056E" w14:textId="77777777" w:rsidR="007E43FA" w:rsidRPr="007E43FA" w:rsidRDefault="007E43FA" w:rsidP="00C9533D">
            <w:pPr>
              <w:jc w:val="both"/>
              <w:rPr>
                <w:sz w:val="20"/>
                <w:szCs w:val="20"/>
              </w:rPr>
            </w:pPr>
            <w:r w:rsidRPr="007E43FA">
              <w:rPr>
                <w:sz w:val="20"/>
                <w:szCs w:val="20"/>
              </w:rPr>
              <w:t>92222</w:t>
            </w:r>
          </w:p>
        </w:tc>
        <w:tc>
          <w:tcPr>
            <w:tcW w:w="2763" w:type="dxa"/>
          </w:tcPr>
          <w:p w14:paraId="7CC726CC" w14:textId="4D49364A" w:rsidR="007E43FA" w:rsidRPr="007E43FA" w:rsidRDefault="007E43FA" w:rsidP="00C9533D">
            <w:pPr>
              <w:jc w:val="both"/>
              <w:rPr>
                <w:sz w:val="20"/>
                <w:szCs w:val="20"/>
              </w:rPr>
            </w:pPr>
            <w:r w:rsidRPr="007E43FA">
              <w:rPr>
                <w:sz w:val="20"/>
                <w:szCs w:val="20"/>
              </w:rPr>
              <w:t xml:space="preserve">Manjak prihoda od </w:t>
            </w:r>
            <w:proofErr w:type="spellStart"/>
            <w:r w:rsidRPr="007E43FA">
              <w:rPr>
                <w:sz w:val="20"/>
                <w:szCs w:val="20"/>
              </w:rPr>
              <w:t>nefin</w:t>
            </w:r>
            <w:r>
              <w:rPr>
                <w:sz w:val="20"/>
                <w:szCs w:val="20"/>
              </w:rPr>
              <w:t>.</w:t>
            </w:r>
            <w:r w:rsidRPr="007E43FA">
              <w:rPr>
                <w:sz w:val="20"/>
                <w:szCs w:val="20"/>
              </w:rPr>
              <w:t>imov</w:t>
            </w:r>
            <w:proofErr w:type="spellEnd"/>
            <w:r w:rsidRPr="007E43FA">
              <w:rPr>
                <w:sz w:val="20"/>
                <w:szCs w:val="20"/>
              </w:rPr>
              <w:t>.</w:t>
            </w:r>
          </w:p>
        </w:tc>
        <w:tc>
          <w:tcPr>
            <w:tcW w:w="1041" w:type="dxa"/>
          </w:tcPr>
          <w:p w14:paraId="7F285824" w14:textId="4271F788" w:rsidR="007E43FA" w:rsidRPr="007E43FA" w:rsidRDefault="007E43FA" w:rsidP="00C9533D">
            <w:pPr>
              <w:jc w:val="right"/>
              <w:rPr>
                <w:sz w:val="20"/>
                <w:szCs w:val="20"/>
              </w:rPr>
            </w:pPr>
            <w:r w:rsidRPr="007E43FA">
              <w:rPr>
                <w:sz w:val="20"/>
                <w:szCs w:val="20"/>
              </w:rPr>
              <w:t>-511,79</w:t>
            </w:r>
          </w:p>
        </w:tc>
        <w:tc>
          <w:tcPr>
            <w:tcW w:w="1053" w:type="dxa"/>
          </w:tcPr>
          <w:p w14:paraId="49CA5CFB" w14:textId="20FE337F" w:rsidR="007E43FA" w:rsidRPr="007E43FA" w:rsidRDefault="007E43FA" w:rsidP="00C9533D">
            <w:pPr>
              <w:jc w:val="right"/>
              <w:rPr>
                <w:sz w:val="20"/>
                <w:szCs w:val="20"/>
              </w:rPr>
            </w:pPr>
            <w:r w:rsidRPr="007E43FA">
              <w:rPr>
                <w:sz w:val="20"/>
                <w:szCs w:val="20"/>
              </w:rPr>
              <w:t>-4.234,53</w:t>
            </w:r>
          </w:p>
        </w:tc>
        <w:tc>
          <w:tcPr>
            <w:tcW w:w="1127" w:type="dxa"/>
          </w:tcPr>
          <w:p w14:paraId="735DE56B" w14:textId="2F21B939" w:rsidR="007E43FA" w:rsidRPr="007E43FA" w:rsidRDefault="007E43FA" w:rsidP="00C9533D">
            <w:pPr>
              <w:jc w:val="right"/>
              <w:rPr>
                <w:sz w:val="20"/>
                <w:szCs w:val="20"/>
              </w:rPr>
            </w:pPr>
            <w:r w:rsidRPr="007E43FA">
              <w:rPr>
                <w:sz w:val="20"/>
                <w:szCs w:val="20"/>
              </w:rPr>
              <w:t>+4.234,53</w:t>
            </w:r>
          </w:p>
        </w:tc>
        <w:tc>
          <w:tcPr>
            <w:tcW w:w="1041" w:type="dxa"/>
          </w:tcPr>
          <w:p w14:paraId="06AB9F1F" w14:textId="7D135E53" w:rsidR="007E43FA" w:rsidRPr="007E43FA" w:rsidRDefault="007E43FA" w:rsidP="00C9533D">
            <w:pPr>
              <w:jc w:val="right"/>
              <w:rPr>
                <w:sz w:val="20"/>
                <w:szCs w:val="20"/>
              </w:rPr>
            </w:pPr>
            <w:r>
              <w:rPr>
                <w:sz w:val="20"/>
                <w:szCs w:val="20"/>
              </w:rPr>
              <w:t>-511,79</w:t>
            </w:r>
          </w:p>
        </w:tc>
        <w:tc>
          <w:tcPr>
            <w:tcW w:w="1219" w:type="dxa"/>
          </w:tcPr>
          <w:p w14:paraId="74372AB6" w14:textId="0970F710" w:rsidR="007E43FA" w:rsidRPr="007E43FA" w:rsidRDefault="007E43FA" w:rsidP="00C9533D">
            <w:pPr>
              <w:jc w:val="right"/>
              <w:rPr>
                <w:sz w:val="20"/>
                <w:szCs w:val="20"/>
              </w:rPr>
            </w:pPr>
          </w:p>
        </w:tc>
      </w:tr>
      <w:tr w:rsidR="007E43FA" w:rsidRPr="007E43FA" w14:paraId="24E617F2" w14:textId="77777777" w:rsidTr="007E43FA">
        <w:tc>
          <w:tcPr>
            <w:tcW w:w="818" w:type="dxa"/>
          </w:tcPr>
          <w:p w14:paraId="3FE12106" w14:textId="77777777" w:rsidR="007E43FA" w:rsidRPr="007E43FA" w:rsidRDefault="007E43FA" w:rsidP="00C9533D">
            <w:pPr>
              <w:jc w:val="both"/>
              <w:rPr>
                <w:b/>
                <w:bCs/>
                <w:i/>
                <w:iCs/>
                <w:sz w:val="20"/>
                <w:szCs w:val="20"/>
              </w:rPr>
            </w:pPr>
            <w:r w:rsidRPr="007E43FA">
              <w:rPr>
                <w:b/>
                <w:bCs/>
                <w:i/>
                <w:iCs/>
                <w:sz w:val="20"/>
                <w:szCs w:val="20"/>
              </w:rPr>
              <w:t>922</w:t>
            </w:r>
          </w:p>
        </w:tc>
        <w:tc>
          <w:tcPr>
            <w:tcW w:w="2763" w:type="dxa"/>
          </w:tcPr>
          <w:p w14:paraId="3ABCB00F" w14:textId="77777777" w:rsidR="007E43FA" w:rsidRPr="007E43FA" w:rsidRDefault="007E43FA" w:rsidP="00C9533D">
            <w:pPr>
              <w:jc w:val="both"/>
              <w:rPr>
                <w:b/>
                <w:bCs/>
                <w:i/>
                <w:iCs/>
                <w:sz w:val="20"/>
                <w:szCs w:val="20"/>
              </w:rPr>
            </w:pPr>
            <w:r w:rsidRPr="007E43FA">
              <w:rPr>
                <w:b/>
                <w:bCs/>
                <w:i/>
                <w:iCs/>
                <w:sz w:val="20"/>
                <w:szCs w:val="20"/>
              </w:rPr>
              <w:t>Višak/Manjak prihoda</w:t>
            </w:r>
          </w:p>
        </w:tc>
        <w:tc>
          <w:tcPr>
            <w:tcW w:w="2094" w:type="dxa"/>
            <w:gridSpan w:val="2"/>
          </w:tcPr>
          <w:p w14:paraId="73BAF0DC" w14:textId="566AD645" w:rsidR="007E43FA" w:rsidRPr="007E43FA" w:rsidRDefault="007E43FA" w:rsidP="002E7FD9">
            <w:pPr>
              <w:jc w:val="center"/>
              <w:rPr>
                <w:b/>
                <w:bCs/>
                <w:i/>
                <w:iCs/>
                <w:sz w:val="20"/>
                <w:szCs w:val="20"/>
              </w:rPr>
            </w:pPr>
            <w:r w:rsidRPr="007E43FA">
              <w:rPr>
                <w:b/>
                <w:bCs/>
                <w:i/>
                <w:iCs/>
                <w:sz w:val="20"/>
                <w:szCs w:val="20"/>
              </w:rPr>
              <w:t>-2.122,58</w:t>
            </w:r>
          </w:p>
        </w:tc>
        <w:tc>
          <w:tcPr>
            <w:tcW w:w="1127" w:type="dxa"/>
          </w:tcPr>
          <w:p w14:paraId="65B717B7" w14:textId="77777777" w:rsidR="007E43FA" w:rsidRPr="007E43FA" w:rsidRDefault="007E43FA" w:rsidP="00C9533D">
            <w:pPr>
              <w:jc w:val="center"/>
              <w:rPr>
                <w:b/>
                <w:bCs/>
                <w:i/>
                <w:iCs/>
                <w:sz w:val="20"/>
                <w:szCs w:val="20"/>
              </w:rPr>
            </w:pPr>
            <w:r w:rsidRPr="007E43FA">
              <w:rPr>
                <w:b/>
                <w:bCs/>
                <w:i/>
                <w:iCs/>
                <w:sz w:val="20"/>
                <w:szCs w:val="20"/>
              </w:rPr>
              <w:t>0,00</w:t>
            </w:r>
          </w:p>
        </w:tc>
        <w:tc>
          <w:tcPr>
            <w:tcW w:w="2260" w:type="dxa"/>
            <w:gridSpan w:val="2"/>
          </w:tcPr>
          <w:p w14:paraId="3C15A19F" w14:textId="01042483" w:rsidR="007E43FA" w:rsidRPr="007E43FA" w:rsidRDefault="007E43FA" w:rsidP="00C9533D">
            <w:pPr>
              <w:jc w:val="center"/>
              <w:rPr>
                <w:b/>
                <w:bCs/>
                <w:i/>
                <w:iCs/>
                <w:sz w:val="20"/>
                <w:szCs w:val="20"/>
              </w:rPr>
            </w:pPr>
            <w:r w:rsidRPr="007E43FA">
              <w:rPr>
                <w:b/>
                <w:bCs/>
                <w:i/>
                <w:iCs/>
                <w:sz w:val="20"/>
                <w:szCs w:val="20"/>
              </w:rPr>
              <w:t>-2.122,58</w:t>
            </w:r>
          </w:p>
        </w:tc>
      </w:tr>
    </w:tbl>
    <w:p w14:paraId="163B3F85" w14:textId="77777777" w:rsidR="002E7FD9" w:rsidRPr="00D7734E" w:rsidRDefault="002E7FD9" w:rsidP="006F472C">
      <w:pPr>
        <w:spacing w:after="0"/>
        <w:jc w:val="both"/>
      </w:pPr>
    </w:p>
    <w:p w14:paraId="00A4E90E" w14:textId="3607258D" w:rsidR="009F08D9" w:rsidRPr="00F7278A" w:rsidRDefault="009F08D9" w:rsidP="006F472C">
      <w:pPr>
        <w:spacing w:after="0"/>
        <w:jc w:val="both"/>
      </w:pPr>
      <w:r w:rsidRPr="00D7734E">
        <w:t>Preneseni m</w:t>
      </w:r>
      <w:r w:rsidR="006F472C" w:rsidRPr="00D7734E">
        <w:t xml:space="preserve">anjak prihoda od nefinancijske imovine </w:t>
      </w:r>
      <w:r w:rsidRPr="00D7734E">
        <w:t>evidentiran na početku ovog izvještajnog razdoblja u iznosu od 1</w:t>
      </w:r>
      <w:r w:rsidR="00D7734E" w:rsidRPr="00D7734E">
        <w:t>.</w:t>
      </w:r>
      <w:r w:rsidRPr="00D7734E">
        <w:t>293,01€ je odlukom o rasporedu rezultata umanjen ostvarenim viško</w:t>
      </w:r>
      <w:r w:rsidR="00D7734E" w:rsidRPr="00D7734E">
        <w:t>m</w:t>
      </w:r>
      <w:r w:rsidRPr="00D7734E">
        <w:t xml:space="preserve"> prihoda poslovanja </w:t>
      </w:r>
      <w:r w:rsidR="00D7734E" w:rsidRPr="00D7734E">
        <w:t>iz</w:t>
      </w:r>
      <w:r w:rsidRPr="00D7734E">
        <w:t xml:space="preserve"> 2023. godine</w:t>
      </w:r>
      <w:r w:rsidR="00D7734E" w:rsidRPr="00D7734E">
        <w:t xml:space="preserve"> u iznosu od 781,22 €. Stoga se u izvještaju za 2024. godinu kao iznos  prenesenog rezultata iz protekle godine koristi iznos od 511,79€ manjka prihoda od nefinancijske imovine. </w:t>
      </w:r>
    </w:p>
    <w:p w14:paraId="312A227F" w14:textId="77777777" w:rsidR="00D7734E" w:rsidRPr="00F7278A" w:rsidRDefault="00D7734E" w:rsidP="006F472C">
      <w:pPr>
        <w:spacing w:after="0"/>
        <w:jc w:val="center"/>
        <w:rPr>
          <w:rFonts w:cstheme="minorHAnsi"/>
          <w:b/>
          <w:sz w:val="24"/>
          <w:szCs w:val="24"/>
        </w:rPr>
      </w:pPr>
    </w:p>
    <w:p w14:paraId="44974CA9" w14:textId="264E9EAD" w:rsidR="006F472C" w:rsidRPr="00F7278A" w:rsidRDefault="006F472C" w:rsidP="006F472C">
      <w:pPr>
        <w:spacing w:after="0"/>
        <w:jc w:val="center"/>
        <w:rPr>
          <w:rFonts w:cstheme="minorHAnsi"/>
          <w:b/>
          <w:sz w:val="24"/>
          <w:szCs w:val="24"/>
        </w:rPr>
      </w:pPr>
      <w:r w:rsidRPr="00F7278A">
        <w:rPr>
          <w:rFonts w:cstheme="minorHAnsi"/>
          <w:b/>
          <w:sz w:val="24"/>
          <w:szCs w:val="24"/>
        </w:rPr>
        <w:t xml:space="preserve">Bilješke uz obrazac PR-RAS </w:t>
      </w:r>
    </w:p>
    <w:p w14:paraId="7B64B766" w14:textId="77777777" w:rsidR="006F472C" w:rsidRPr="00F7278A" w:rsidRDefault="006F472C" w:rsidP="006F472C">
      <w:pPr>
        <w:spacing w:after="0"/>
        <w:jc w:val="center"/>
        <w:rPr>
          <w:rFonts w:cstheme="minorHAnsi"/>
          <w:i/>
          <w:iCs/>
        </w:rPr>
      </w:pPr>
      <w:r w:rsidRPr="00F7278A">
        <w:rPr>
          <w:rFonts w:cstheme="minorHAnsi"/>
          <w:i/>
          <w:iCs/>
        </w:rPr>
        <w:t>Bilješka 1. uz šifru 6 – Prihodi poslovanja</w:t>
      </w:r>
    </w:p>
    <w:p w14:paraId="7E9C24A7" w14:textId="2C2FCFDE" w:rsidR="00CF0690" w:rsidRPr="00F7278A" w:rsidRDefault="006F472C" w:rsidP="006F472C">
      <w:pPr>
        <w:spacing w:after="0"/>
        <w:jc w:val="both"/>
        <w:rPr>
          <w:rFonts w:cstheme="minorHAnsi"/>
        </w:rPr>
      </w:pPr>
      <w:r w:rsidRPr="00F7278A">
        <w:rPr>
          <w:rFonts w:cstheme="minorHAnsi"/>
        </w:rPr>
        <w:t>Ostvareni prihodi u 202</w:t>
      </w:r>
      <w:r w:rsidR="00CF0690" w:rsidRPr="00F7278A">
        <w:rPr>
          <w:rFonts w:cstheme="minorHAnsi"/>
        </w:rPr>
        <w:t>4</w:t>
      </w:r>
      <w:r w:rsidRPr="00F7278A">
        <w:rPr>
          <w:rFonts w:cstheme="minorHAnsi"/>
        </w:rPr>
        <w:t xml:space="preserve"> godini su za 1</w:t>
      </w:r>
      <w:r w:rsidR="00CF0690" w:rsidRPr="00F7278A">
        <w:rPr>
          <w:rFonts w:cstheme="minorHAnsi"/>
        </w:rPr>
        <w:t>4</w:t>
      </w:r>
      <w:r w:rsidRPr="00F7278A">
        <w:rPr>
          <w:rFonts w:cstheme="minorHAnsi"/>
        </w:rPr>
        <w:t>% u</w:t>
      </w:r>
      <w:r w:rsidR="00CF0690" w:rsidRPr="00F7278A">
        <w:rPr>
          <w:rFonts w:cstheme="minorHAnsi"/>
        </w:rPr>
        <w:t>manjeni</w:t>
      </w:r>
      <w:r w:rsidRPr="00F7278A">
        <w:rPr>
          <w:rFonts w:cstheme="minorHAnsi"/>
        </w:rPr>
        <w:t xml:space="preserve"> u  odnosu na proteklu godinu</w:t>
      </w:r>
      <w:r w:rsidR="00CF0690" w:rsidRPr="00F7278A">
        <w:rPr>
          <w:rFonts w:cstheme="minorHAnsi"/>
        </w:rPr>
        <w:t>. Umanjenje je nastalo radi</w:t>
      </w:r>
      <w:r w:rsidR="00F7278A">
        <w:rPr>
          <w:rFonts w:cstheme="minorHAnsi"/>
        </w:rPr>
        <w:t xml:space="preserve"> prekida rada pri</w:t>
      </w:r>
      <w:r w:rsidR="00CF0690" w:rsidRPr="00F7278A">
        <w:rPr>
          <w:rFonts w:cstheme="minorHAnsi"/>
        </w:rPr>
        <w:t xml:space="preserve"> renoviranj</w:t>
      </w:r>
      <w:r w:rsidR="00F7278A">
        <w:rPr>
          <w:rFonts w:cstheme="minorHAnsi"/>
        </w:rPr>
        <w:t>u</w:t>
      </w:r>
      <w:r w:rsidR="00CF0690" w:rsidRPr="00F7278A">
        <w:rPr>
          <w:rFonts w:cstheme="minorHAnsi"/>
        </w:rPr>
        <w:t xml:space="preserve"> prostorija knjižnice i </w:t>
      </w:r>
      <w:r w:rsidR="007E43FA">
        <w:rPr>
          <w:rFonts w:cstheme="minorHAnsi"/>
        </w:rPr>
        <w:t xml:space="preserve">manjeg financiranja plaća iz nadležnog proračuna, a radi </w:t>
      </w:r>
      <w:r w:rsidR="00CF0690" w:rsidRPr="00F7278A">
        <w:rPr>
          <w:rFonts w:cstheme="minorHAnsi"/>
        </w:rPr>
        <w:t>korištenja porodiljnog dopusta jedne djelatnice. Struktura prihoda je prikazana u tablici:</w:t>
      </w:r>
    </w:p>
    <w:p w14:paraId="380BD252" w14:textId="77777777" w:rsidR="00CF0690" w:rsidRPr="00F7278A" w:rsidRDefault="00CF0690" w:rsidP="006F472C">
      <w:pPr>
        <w:spacing w:after="0"/>
        <w:jc w:val="both"/>
        <w:rPr>
          <w:rFonts w:cstheme="minorHAnsi"/>
        </w:rPr>
      </w:pPr>
    </w:p>
    <w:tbl>
      <w:tblPr>
        <w:tblStyle w:val="Reetkatablice"/>
        <w:tblW w:w="0" w:type="auto"/>
        <w:tblLook w:val="04A0" w:firstRow="1" w:lastRow="0" w:firstColumn="1" w:lastColumn="0" w:noHBand="0" w:noVBand="1"/>
      </w:tblPr>
      <w:tblGrid>
        <w:gridCol w:w="5524"/>
        <w:gridCol w:w="1275"/>
        <w:gridCol w:w="1276"/>
        <w:gridCol w:w="987"/>
      </w:tblGrid>
      <w:tr w:rsidR="00F7278A" w:rsidRPr="00F7278A" w14:paraId="0B54100A" w14:textId="77777777" w:rsidTr="00C9533D">
        <w:tc>
          <w:tcPr>
            <w:tcW w:w="5524" w:type="dxa"/>
          </w:tcPr>
          <w:p w14:paraId="17DD7984" w14:textId="77777777" w:rsidR="006F472C" w:rsidRPr="00F7278A" w:rsidRDefault="006F472C" w:rsidP="00C9533D">
            <w:pPr>
              <w:jc w:val="center"/>
              <w:rPr>
                <w:b/>
                <w:bCs/>
              </w:rPr>
            </w:pPr>
            <w:r w:rsidRPr="00F7278A">
              <w:rPr>
                <w:b/>
                <w:bCs/>
              </w:rPr>
              <w:t>PRIHODI</w:t>
            </w:r>
          </w:p>
        </w:tc>
        <w:tc>
          <w:tcPr>
            <w:tcW w:w="1275" w:type="dxa"/>
          </w:tcPr>
          <w:p w14:paraId="268B8303" w14:textId="5D5DB571" w:rsidR="006F472C" w:rsidRPr="00F7278A" w:rsidRDefault="006F472C" w:rsidP="00C9533D">
            <w:pPr>
              <w:jc w:val="center"/>
              <w:rPr>
                <w:b/>
                <w:bCs/>
              </w:rPr>
            </w:pPr>
            <w:r w:rsidRPr="00F7278A">
              <w:rPr>
                <w:b/>
                <w:bCs/>
              </w:rPr>
              <w:t>202</w:t>
            </w:r>
            <w:r w:rsidR="00CF0690" w:rsidRPr="00F7278A">
              <w:rPr>
                <w:b/>
                <w:bCs/>
              </w:rPr>
              <w:t>3</w:t>
            </w:r>
          </w:p>
        </w:tc>
        <w:tc>
          <w:tcPr>
            <w:tcW w:w="1276" w:type="dxa"/>
          </w:tcPr>
          <w:p w14:paraId="512DDD8F" w14:textId="6CC754C0" w:rsidR="006F472C" w:rsidRPr="00F7278A" w:rsidRDefault="006F472C" w:rsidP="00C9533D">
            <w:pPr>
              <w:jc w:val="center"/>
              <w:rPr>
                <w:b/>
                <w:bCs/>
              </w:rPr>
            </w:pPr>
            <w:r w:rsidRPr="00F7278A">
              <w:rPr>
                <w:b/>
                <w:bCs/>
              </w:rPr>
              <w:t>202</w:t>
            </w:r>
            <w:r w:rsidR="00CF0690" w:rsidRPr="00F7278A">
              <w:rPr>
                <w:b/>
                <w:bCs/>
              </w:rPr>
              <w:t>4</w:t>
            </w:r>
          </w:p>
        </w:tc>
        <w:tc>
          <w:tcPr>
            <w:tcW w:w="987" w:type="dxa"/>
          </w:tcPr>
          <w:p w14:paraId="67999E20" w14:textId="77777777" w:rsidR="006F472C" w:rsidRPr="00F7278A" w:rsidRDefault="006F472C" w:rsidP="00C9533D">
            <w:pPr>
              <w:jc w:val="center"/>
              <w:rPr>
                <w:b/>
                <w:bCs/>
              </w:rPr>
            </w:pPr>
            <w:r w:rsidRPr="00F7278A">
              <w:rPr>
                <w:b/>
                <w:bCs/>
              </w:rPr>
              <w:t>index</w:t>
            </w:r>
          </w:p>
        </w:tc>
      </w:tr>
      <w:tr w:rsidR="00F7278A" w:rsidRPr="00F7278A" w14:paraId="54D8C756" w14:textId="77777777" w:rsidTr="00C9533D">
        <w:tc>
          <w:tcPr>
            <w:tcW w:w="5524" w:type="dxa"/>
          </w:tcPr>
          <w:p w14:paraId="32F7FE04" w14:textId="77777777" w:rsidR="00CF0690" w:rsidRPr="00F7278A" w:rsidRDefault="00CF0690" w:rsidP="00CF0690">
            <w:pPr>
              <w:jc w:val="both"/>
            </w:pPr>
            <w:r w:rsidRPr="00F7278A">
              <w:t xml:space="preserve">Kapitalne pomoći </w:t>
            </w:r>
            <w:proofErr w:type="spellStart"/>
            <w:r w:rsidRPr="00F7278A">
              <w:t>prorač.iz</w:t>
            </w:r>
            <w:proofErr w:type="spellEnd"/>
            <w:r w:rsidRPr="00F7278A">
              <w:t xml:space="preserve"> drugih </w:t>
            </w:r>
            <w:proofErr w:type="spellStart"/>
            <w:r w:rsidRPr="00F7278A">
              <w:t>prorač,i</w:t>
            </w:r>
            <w:proofErr w:type="spellEnd"/>
            <w:r w:rsidRPr="00F7278A">
              <w:t xml:space="preserve"> </w:t>
            </w:r>
            <w:proofErr w:type="spellStart"/>
            <w:r w:rsidRPr="00F7278A">
              <w:t>izvanpror.korisn</w:t>
            </w:r>
            <w:proofErr w:type="spellEnd"/>
            <w:r w:rsidRPr="00F7278A">
              <w:t>.</w:t>
            </w:r>
          </w:p>
        </w:tc>
        <w:tc>
          <w:tcPr>
            <w:tcW w:w="1275" w:type="dxa"/>
          </w:tcPr>
          <w:p w14:paraId="6ED8A3A3" w14:textId="2262EE22" w:rsidR="00CF0690" w:rsidRPr="00F7278A" w:rsidRDefault="00CF0690" w:rsidP="00CF0690">
            <w:pPr>
              <w:jc w:val="right"/>
            </w:pPr>
            <w:r w:rsidRPr="00F7278A">
              <w:t>3.654,46</w:t>
            </w:r>
          </w:p>
        </w:tc>
        <w:tc>
          <w:tcPr>
            <w:tcW w:w="1276" w:type="dxa"/>
          </w:tcPr>
          <w:p w14:paraId="080A894C" w14:textId="0B07E39E" w:rsidR="00CF0690" w:rsidRPr="00F7278A" w:rsidRDefault="00CF0690" w:rsidP="00CF0690">
            <w:pPr>
              <w:jc w:val="right"/>
            </w:pPr>
            <w:r w:rsidRPr="00F7278A">
              <w:t>2.700,00</w:t>
            </w:r>
          </w:p>
        </w:tc>
        <w:tc>
          <w:tcPr>
            <w:tcW w:w="987" w:type="dxa"/>
          </w:tcPr>
          <w:p w14:paraId="1741DD70" w14:textId="563B0BA9" w:rsidR="00CF0690" w:rsidRPr="00F7278A" w:rsidRDefault="00CF0690" w:rsidP="00CF0690">
            <w:pPr>
              <w:jc w:val="center"/>
            </w:pPr>
            <w:r w:rsidRPr="00F7278A">
              <w:t>73,9</w:t>
            </w:r>
          </w:p>
        </w:tc>
      </w:tr>
      <w:tr w:rsidR="00F7278A" w:rsidRPr="00F7278A" w14:paraId="7AF6E92C" w14:textId="77777777" w:rsidTr="00C9533D">
        <w:tc>
          <w:tcPr>
            <w:tcW w:w="5524" w:type="dxa"/>
          </w:tcPr>
          <w:p w14:paraId="1B640A2F" w14:textId="77777777" w:rsidR="00CF0690" w:rsidRPr="00F7278A" w:rsidRDefault="00CF0690" w:rsidP="00CF0690">
            <w:pPr>
              <w:jc w:val="both"/>
            </w:pPr>
            <w:r w:rsidRPr="00F7278A">
              <w:t>Prihodi od pruženih usluga</w:t>
            </w:r>
          </w:p>
        </w:tc>
        <w:tc>
          <w:tcPr>
            <w:tcW w:w="1275" w:type="dxa"/>
          </w:tcPr>
          <w:p w14:paraId="67E75BAD" w14:textId="32DA14A6" w:rsidR="00CF0690" w:rsidRPr="00F7278A" w:rsidRDefault="00CF0690" w:rsidP="00CF0690">
            <w:pPr>
              <w:jc w:val="right"/>
            </w:pPr>
            <w:r w:rsidRPr="00F7278A">
              <w:t>364,00</w:t>
            </w:r>
          </w:p>
        </w:tc>
        <w:tc>
          <w:tcPr>
            <w:tcW w:w="1276" w:type="dxa"/>
          </w:tcPr>
          <w:p w14:paraId="31B4FB4D" w14:textId="5027246E" w:rsidR="00CF0690" w:rsidRPr="00F7278A" w:rsidRDefault="00CF0690" w:rsidP="00CF0690">
            <w:pPr>
              <w:jc w:val="right"/>
            </w:pPr>
            <w:r w:rsidRPr="00F7278A">
              <w:t>0,00</w:t>
            </w:r>
          </w:p>
        </w:tc>
        <w:tc>
          <w:tcPr>
            <w:tcW w:w="987" w:type="dxa"/>
          </w:tcPr>
          <w:p w14:paraId="071991B1" w14:textId="64F9F614" w:rsidR="00CF0690" w:rsidRPr="00F7278A" w:rsidRDefault="00CF0690" w:rsidP="00CF0690">
            <w:pPr>
              <w:jc w:val="center"/>
            </w:pPr>
          </w:p>
        </w:tc>
      </w:tr>
      <w:tr w:rsidR="00F7278A" w:rsidRPr="00F7278A" w14:paraId="69532689" w14:textId="77777777" w:rsidTr="00C9533D">
        <w:tc>
          <w:tcPr>
            <w:tcW w:w="5524" w:type="dxa"/>
          </w:tcPr>
          <w:p w14:paraId="6D5C2DD3" w14:textId="77777777" w:rsidR="00CF0690" w:rsidRPr="00F7278A" w:rsidRDefault="00CF0690" w:rsidP="00CF0690">
            <w:pPr>
              <w:jc w:val="both"/>
            </w:pPr>
            <w:r w:rsidRPr="00F7278A">
              <w:t xml:space="preserve">Prihodi iz nadležnog prorač.za financiranje </w:t>
            </w:r>
            <w:proofErr w:type="spellStart"/>
            <w:r w:rsidRPr="00F7278A">
              <w:t>rash.poslovanja</w:t>
            </w:r>
            <w:proofErr w:type="spellEnd"/>
          </w:p>
        </w:tc>
        <w:tc>
          <w:tcPr>
            <w:tcW w:w="1275" w:type="dxa"/>
          </w:tcPr>
          <w:p w14:paraId="0456E6C6" w14:textId="6C915567" w:rsidR="00CF0690" w:rsidRPr="00F7278A" w:rsidRDefault="00CF0690" w:rsidP="00CF0690">
            <w:pPr>
              <w:jc w:val="right"/>
            </w:pPr>
            <w:r w:rsidRPr="00F7278A">
              <w:t>38.118,59</w:t>
            </w:r>
          </w:p>
        </w:tc>
        <w:tc>
          <w:tcPr>
            <w:tcW w:w="1276" w:type="dxa"/>
          </w:tcPr>
          <w:p w14:paraId="14DFFBCB" w14:textId="5CF75990" w:rsidR="00CF0690" w:rsidRPr="00F7278A" w:rsidRDefault="00CF0690" w:rsidP="00CF0690">
            <w:pPr>
              <w:jc w:val="right"/>
            </w:pPr>
            <w:r w:rsidRPr="00F7278A">
              <w:t>33.130,79</w:t>
            </w:r>
          </w:p>
        </w:tc>
        <w:tc>
          <w:tcPr>
            <w:tcW w:w="987" w:type="dxa"/>
          </w:tcPr>
          <w:p w14:paraId="6FCB679F" w14:textId="18A66D6B" w:rsidR="00CF0690" w:rsidRPr="00F7278A" w:rsidRDefault="00CF0690" w:rsidP="00CF0690">
            <w:pPr>
              <w:jc w:val="center"/>
            </w:pPr>
            <w:r w:rsidRPr="00F7278A">
              <w:t>86,9</w:t>
            </w:r>
          </w:p>
        </w:tc>
      </w:tr>
      <w:tr w:rsidR="00F7278A" w:rsidRPr="00F7278A" w14:paraId="58F4478A" w14:textId="77777777" w:rsidTr="00C9533D">
        <w:tc>
          <w:tcPr>
            <w:tcW w:w="5524" w:type="dxa"/>
          </w:tcPr>
          <w:p w14:paraId="35FA45A3" w14:textId="77777777" w:rsidR="00CF0690" w:rsidRPr="00F7278A" w:rsidRDefault="00CF0690" w:rsidP="00CF0690">
            <w:pPr>
              <w:jc w:val="both"/>
            </w:pPr>
            <w:r w:rsidRPr="00F7278A">
              <w:t>Prihodi iz nadležnog prorač.za financ.rash.za nabavu nef.im.</w:t>
            </w:r>
          </w:p>
        </w:tc>
        <w:tc>
          <w:tcPr>
            <w:tcW w:w="1275" w:type="dxa"/>
          </w:tcPr>
          <w:p w14:paraId="5D4E5F52" w14:textId="1F854FE5" w:rsidR="00CF0690" w:rsidRPr="00F7278A" w:rsidRDefault="00CF0690" w:rsidP="00CF0690">
            <w:pPr>
              <w:jc w:val="right"/>
            </w:pPr>
            <w:r w:rsidRPr="00F7278A">
              <w:t>872,14</w:t>
            </w:r>
          </w:p>
        </w:tc>
        <w:tc>
          <w:tcPr>
            <w:tcW w:w="1276" w:type="dxa"/>
          </w:tcPr>
          <w:p w14:paraId="22ABB637" w14:textId="3C703622" w:rsidR="00CF0690" w:rsidRPr="00F7278A" w:rsidRDefault="00CF0690" w:rsidP="00CF0690">
            <w:pPr>
              <w:jc w:val="right"/>
            </w:pPr>
            <w:r w:rsidRPr="00F7278A">
              <w:t>1.534,53</w:t>
            </w:r>
          </w:p>
        </w:tc>
        <w:tc>
          <w:tcPr>
            <w:tcW w:w="987" w:type="dxa"/>
          </w:tcPr>
          <w:p w14:paraId="307A2543" w14:textId="37A21FBB" w:rsidR="00CF0690" w:rsidRPr="00F7278A" w:rsidRDefault="00CF0690" w:rsidP="00CF0690">
            <w:pPr>
              <w:jc w:val="center"/>
            </w:pPr>
            <w:r w:rsidRPr="00F7278A">
              <w:t>175,9</w:t>
            </w:r>
          </w:p>
        </w:tc>
      </w:tr>
      <w:tr w:rsidR="00F7278A" w:rsidRPr="00F7278A" w14:paraId="40AD07B2" w14:textId="77777777" w:rsidTr="00C9533D">
        <w:tc>
          <w:tcPr>
            <w:tcW w:w="5524" w:type="dxa"/>
          </w:tcPr>
          <w:p w14:paraId="2E696EEC" w14:textId="77777777" w:rsidR="00CF0690" w:rsidRPr="00F7278A" w:rsidRDefault="00CF0690" w:rsidP="00CF0690">
            <w:pPr>
              <w:jc w:val="both"/>
              <w:rPr>
                <w:b/>
                <w:bCs/>
              </w:rPr>
            </w:pPr>
            <w:r w:rsidRPr="00F7278A">
              <w:rPr>
                <w:b/>
                <w:bCs/>
              </w:rPr>
              <w:t>UKUPNO:</w:t>
            </w:r>
          </w:p>
        </w:tc>
        <w:tc>
          <w:tcPr>
            <w:tcW w:w="1275" w:type="dxa"/>
          </w:tcPr>
          <w:p w14:paraId="1DD11BE5" w14:textId="124C873C" w:rsidR="00CF0690" w:rsidRPr="00F7278A" w:rsidRDefault="00CF0690" w:rsidP="00CF0690">
            <w:pPr>
              <w:jc w:val="right"/>
              <w:rPr>
                <w:b/>
                <w:bCs/>
              </w:rPr>
            </w:pPr>
            <w:r w:rsidRPr="00F7278A">
              <w:rPr>
                <w:b/>
                <w:bCs/>
              </w:rPr>
              <w:t>43.009,19</w:t>
            </w:r>
          </w:p>
        </w:tc>
        <w:tc>
          <w:tcPr>
            <w:tcW w:w="1276" w:type="dxa"/>
          </w:tcPr>
          <w:p w14:paraId="7A27D098" w14:textId="1B1C82FC" w:rsidR="00CF0690" w:rsidRPr="00F7278A" w:rsidRDefault="00CF0690" w:rsidP="00CF0690">
            <w:pPr>
              <w:jc w:val="right"/>
              <w:rPr>
                <w:b/>
                <w:bCs/>
              </w:rPr>
            </w:pPr>
            <w:r w:rsidRPr="00F7278A">
              <w:rPr>
                <w:b/>
                <w:bCs/>
              </w:rPr>
              <w:t>37.365,32</w:t>
            </w:r>
          </w:p>
        </w:tc>
        <w:tc>
          <w:tcPr>
            <w:tcW w:w="987" w:type="dxa"/>
          </w:tcPr>
          <w:p w14:paraId="647A3E18" w14:textId="39FEEBDE" w:rsidR="00CF0690" w:rsidRPr="00F7278A" w:rsidRDefault="00CF0690" w:rsidP="00CF0690">
            <w:pPr>
              <w:jc w:val="center"/>
              <w:rPr>
                <w:b/>
                <w:bCs/>
              </w:rPr>
            </w:pPr>
            <w:r w:rsidRPr="00F7278A">
              <w:rPr>
                <w:b/>
                <w:bCs/>
              </w:rPr>
              <w:t>86,9</w:t>
            </w:r>
          </w:p>
        </w:tc>
      </w:tr>
    </w:tbl>
    <w:p w14:paraId="490CFD7F" w14:textId="77777777" w:rsidR="006F472C" w:rsidRPr="00F7278A" w:rsidRDefault="006F472C" w:rsidP="006F472C">
      <w:pPr>
        <w:spacing w:after="0"/>
        <w:jc w:val="both"/>
      </w:pPr>
    </w:p>
    <w:p w14:paraId="1265D611" w14:textId="65CB3202" w:rsidR="006F472C" w:rsidRPr="00F7278A" w:rsidRDefault="006F472C" w:rsidP="006F472C">
      <w:pPr>
        <w:spacing w:after="0"/>
        <w:jc w:val="both"/>
      </w:pPr>
      <w:r w:rsidRPr="00F7278A">
        <w:t xml:space="preserve">Ostvareni prihodi od pomoći odnose se na primljena sredstava od Ministarstva kulture. </w:t>
      </w:r>
      <w:r w:rsidR="00C864B3" w:rsidRPr="00F7278A">
        <w:t>E</w:t>
      </w:r>
      <w:r w:rsidRPr="00F7278A">
        <w:t xml:space="preserve">videntiraju se kao kapitalne  pomoći i u tijeku </w:t>
      </w:r>
      <w:r w:rsidR="00C864B3" w:rsidRPr="00F7278A">
        <w:t>izvještajnog razdoblja</w:t>
      </w:r>
      <w:r w:rsidRPr="00F7278A">
        <w:t xml:space="preserve"> su u cijelosti utrošeni na nabavu nefinancijske imovine. Općina Sali, kao osnivač Hrvatske knjižnice i čitaonice Sali financira sve rashode poslovanja knjižnice i dio nabave nefinancijske imovine. </w:t>
      </w:r>
    </w:p>
    <w:p w14:paraId="67D2175A" w14:textId="77777777" w:rsidR="006F472C" w:rsidRPr="00F7278A" w:rsidRDefault="006F472C" w:rsidP="006F472C">
      <w:pPr>
        <w:spacing w:after="0"/>
        <w:jc w:val="both"/>
      </w:pPr>
    </w:p>
    <w:p w14:paraId="01D6B4FC" w14:textId="77777777" w:rsidR="006F472C" w:rsidRPr="00F7278A" w:rsidRDefault="006F472C" w:rsidP="006F472C">
      <w:pPr>
        <w:spacing w:after="0"/>
        <w:jc w:val="center"/>
        <w:rPr>
          <w:rFonts w:cstheme="minorHAnsi"/>
          <w:i/>
          <w:iCs/>
        </w:rPr>
      </w:pPr>
      <w:r w:rsidRPr="00F7278A">
        <w:rPr>
          <w:rFonts w:cstheme="minorHAnsi"/>
          <w:i/>
          <w:iCs/>
        </w:rPr>
        <w:lastRenderedPageBreak/>
        <w:t>Bilješka 2. uz šifru 3 – Rashodi poslovanja</w:t>
      </w:r>
    </w:p>
    <w:p w14:paraId="24E9E07F" w14:textId="5AA0B665" w:rsidR="006F472C" w:rsidRPr="00F7278A" w:rsidRDefault="006F472C" w:rsidP="006F472C">
      <w:pPr>
        <w:spacing w:after="0"/>
        <w:jc w:val="both"/>
        <w:rPr>
          <w:rFonts w:cstheme="minorHAnsi"/>
        </w:rPr>
      </w:pPr>
      <w:r w:rsidRPr="00F7278A">
        <w:rPr>
          <w:rFonts w:cstheme="minorHAnsi"/>
        </w:rPr>
        <w:t>Rashodi poslovanja u 202</w:t>
      </w:r>
      <w:r w:rsidR="00F7278A" w:rsidRPr="00F7278A">
        <w:rPr>
          <w:rFonts w:cstheme="minorHAnsi"/>
        </w:rPr>
        <w:t>4</w:t>
      </w:r>
      <w:r w:rsidRPr="00F7278A">
        <w:rPr>
          <w:rFonts w:cstheme="minorHAnsi"/>
        </w:rPr>
        <w:t xml:space="preserve"> godini su za </w:t>
      </w:r>
      <w:r w:rsidR="00F7278A" w:rsidRPr="00F7278A">
        <w:rPr>
          <w:rFonts w:cstheme="minorHAnsi"/>
        </w:rPr>
        <w:t>6,7</w:t>
      </w:r>
      <w:r w:rsidRPr="00F7278A">
        <w:rPr>
          <w:rFonts w:cstheme="minorHAnsi"/>
        </w:rPr>
        <w:t>% u</w:t>
      </w:r>
      <w:r w:rsidR="00F7278A" w:rsidRPr="00F7278A">
        <w:rPr>
          <w:rFonts w:cstheme="minorHAnsi"/>
        </w:rPr>
        <w:t>manjeni</w:t>
      </w:r>
      <w:r w:rsidRPr="00F7278A">
        <w:rPr>
          <w:rFonts w:cstheme="minorHAnsi"/>
        </w:rPr>
        <w:t xml:space="preserve"> u  odnosu na proteklu </w:t>
      </w:r>
      <w:r w:rsidRPr="00610CA4">
        <w:rPr>
          <w:rFonts w:cstheme="minorHAnsi"/>
        </w:rPr>
        <w:t xml:space="preserve">godinu. </w:t>
      </w:r>
      <w:r w:rsidRPr="00610CA4">
        <w:t xml:space="preserve">Najveće odstupanje odnosi se na </w:t>
      </w:r>
      <w:r w:rsidR="00610CA4" w:rsidRPr="00610CA4">
        <w:t>povećanje materijalnih rashoda, odnosno na uvećanu nabavu sitnog inventara i</w:t>
      </w:r>
      <w:r w:rsidR="00745798">
        <w:t xml:space="preserve"> </w:t>
      </w:r>
      <w:r w:rsidR="00610CA4" w:rsidRPr="00610CA4">
        <w:t>povećanje računalnih usluga uvođenjem propisanih obveza</w:t>
      </w:r>
      <w:r w:rsidR="00745798">
        <w:t xml:space="preserve"> tek u ovoj godini.</w:t>
      </w:r>
      <w:r w:rsidR="00610CA4">
        <w:t xml:space="preserve"> Rashodi za zaposlene su umanjeni za 9,7% u odnosu na prošlu godinu radi neisplate plaće djelatnici koja je jedan dio godine koristila porodiljni dopust. </w:t>
      </w:r>
      <w:r w:rsidRPr="00F7278A">
        <w:t>Poslovanje knjižnice ovisi o financiranju od strane Općine Sali čije uplate omogućuju skromnije, ali redovno i pravovremeno podmirenje nastalih obveza. N</w:t>
      </w:r>
      <w:r w:rsidRPr="00F7278A">
        <w:rPr>
          <w:rFonts w:cstheme="minorHAnsi"/>
        </w:rPr>
        <w:t>jihova struktura je:</w:t>
      </w:r>
    </w:p>
    <w:p w14:paraId="3B561D6A" w14:textId="77777777" w:rsidR="006F472C" w:rsidRPr="00610CA4" w:rsidRDefault="006F472C" w:rsidP="006F472C">
      <w:pPr>
        <w:spacing w:after="0"/>
        <w:jc w:val="both"/>
        <w:rPr>
          <w:rFonts w:cstheme="minorHAnsi"/>
        </w:rPr>
      </w:pPr>
    </w:p>
    <w:tbl>
      <w:tblPr>
        <w:tblStyle w:val="Reetkatablice"/>
        <w:tblW w:w="0" w:type="auto"/>
        <w:tblLook w:val="04A0" w:firstRow="1" w:lastRow="0" w:firstColumn="1" w:lastColumn="0" w:noHBand="0" w:noVBand="1"/>
      </w:tblPr>
      <w:tblGrid>
        <w:gridCol w:w="5524"/>
        <w:gridCol w:w="1275"/>
        <w:gridCol w:w="1276"/>
        <w:gridCol w:w="987"/>
      </w:tblGrid>
      <w:tr w:rsidR="00610CA4" w:rsidRPr="00610CA4" w14:paraId="66895D89" w14:textId="77777777" w:rsidTr="00C9533D">
        <w:tc>
          <w:tcPr>
            <w:tcW w:w="5524" w:type="dxa"/>
          </w:tcPr>
          <w:p w14:paraId="71B33B9A" w14:textId="77777777" w:rsidR="006F472C" w:rsidRPr="00610CA4" w:rsidRDefault="006F472C" w:rsidP="00C9533D">
            <w:pPr>
              <w:jc w:val="center"/>
              <w:rPr>
                <w:b/>
                <w:bCs/>
              </w:rPr>
            </w:pPr>
            <w:r w:rsidRPr="00610CA4">
              <w:rPr>
                <w:b/>
                <w:bCs/>
              </w:rPr>
              <w:t>RASHODI</w:t>
            </w:r>
          </w:p>
        </w:tc>
        <w:tc>
          <w:tcPr>
            <w:tcW w:w="1275" w:type="dxa"/>
          </w:tcPr>
          <w:p w14:paraId="040289D2" w14:textId="2249E79C" w:rsidR="006F472C" w:rsidRPr="00610CA4" w:rsidRDefault="006F472C" w:rsidP="00C9533D">
            <w:pPr>
              <w:jc w:val="center"/>
              <w:rPr>
                <w:b/>
                <w:bCs/>
              </w:rPr>
            </w:pPr>
            <w:r w:rsidRPr="00610CA4">
              <w:rPr>
                <w:b/>
                <w:bCs/>
              </w:rPr>
              <w:t>202</w:t>
            </w:r>
            <w:r w:rsidR="00F7278A" w:rsidRPr="00610CA4">
              <w:rPr>
                <w:b/>
                <w:bCs/>
              </w:rPr>
              <w:t>3</w:t>
            </w:r>
          </w:p>
        </w:tc>
        <w:tc>
          <w:tcPr>
            <w:tcW w:w="1276" w:type="dxa"/>
          </w:tcPr>
          <w:p w14:paraId="706DEEF7" w14:textId="26B4469C" w:rsidR="006F472C" w:rsidRPr="00610CA4" w:rsidRDefault="006F472C" w:rsidP="00C9533D">
            <w:pPr>
              <w:jc w:val="center"/>
              <w:rPr>
                <w:b/>
                <w:bCs/>
              </w:rPr>
            </w:pPr>
            <w:r w:rsidRPr="00610CA4">
              <w:rPr>
                <w:b/>
                <w:bCs/>
              </w:rPr>
              <w:t>202</w:t>
            </w:r>
            <w:r w:rsidR="00F7278A" w:rsidRPr="00610CA4">
              <w:rPr>
                <w:b/>
                <w:bCs/>
              </w:rPr>
              <w:t>4</w:t>
            </w:r>
          </w:p>
        </w:tc>
        <w:tc>
          <w:tcPr>
            <w:tcW w:w="987" w:type="dxa"/>
          </w:tcPr>
          <w:p w14:paraId="447563FB" w14:textId="77777777" w:rsidR="006F472C" w:rsidRPr="00610CA4" w:rsidRDefault="006F472C" w:rsidP="00C9533D">
            <w:pPr>
              <w:jc w:val="center"/>
              <w:rPr>
                <w:b/>
                <w:bCs/>
              </w:rPr>
            </w:pPr>
            <w:r w:rsidRPr="00610CA4">
              <w:rPr>
                <w:b/>
                <w:bCs/>
              </w:rPr>
              <w:t>index</w:t>
            </w:r>
          </w:p>
        </w:tc>
      </w:tr>
      <w:tr w:rsidR="00610CA4" w:rsidRPr="00610CA4" w14:paraId="4D95B924" w14:textId="77777777" w:rsidTr="00C9533D">
        <w:tc>
          <w:tcPr>
            <w:tcW w:w="5524" w:type="dxa"/>
          </w:tcPr>
          <w:p w14:paraId="3ED64A4E" w14:textId="77777777" w:rsidR="00F7278A" w:rsidRPr="00610CA4" w:rsidRDefault="00F7278A" w:rsidP="00F7278A">
            <w:pPr>
              <w:jc w:val="both"/>
            </w:pPr>
            <w:r w:rsidRPr="00610CA4">
              <w:t>31 Rashodi za zaposlene</w:t>
            </w:r>
          </w:p>
        </w:tc>
        <w:tc>
          <w:tcPr>
            <w:tcW w:w="1275" w:type="dxa"/>
          </w:tcPr>
          <w:p w14:paraId="3DED5DA4" w14:textId="6315BD84" w:rsidR="00F7278A" w:rsidRPr="00610CA4" w:rsidRDefault="00F7278A" w:rsidP="00F7278A">
            <w:pPr>
              <w:jc w:val="right"/>
            </w:pPr>
            <w:r w:rsidRPr="00610CA4">
              <w:t>34.675,15</w:t>
            </w:r>
          </w:p>
        </w:tc>
        <w:tc>
          <w:tcPr>
            <w:tcW w:w="1276" w:type="dxa"/>
          </w:tcPr>
          <w:p w14:paraId="562E251C" w14:textId="3B5780A6" w:rsidR="00F7278A" w:rsidRPr="00610CA4" w:rsidRDefault="00F7278A" w:rsidP="00F7278A">
            <w:pPr>
              <w:jc w:val="right"/>
            </w:pPr>
            <w:r w:rsidRPr="00610CA4">
              <w:t>31.303,62</w:t>
            </w:r>
          </w:p>
        </w:tc>
        <w:tc>
          <w:tcPr>
            <w:tcW w:w="987" w:type="dxa"/>
          </w:tcPr>
          <w:p w14:paraId="4352766B" w14:textId="6665E368" w:rsidR="00F7278A" w:rsidRPr="00610CA4" w:rsidRDefault="00F7278A" w:rsidP="00F7278A">
            <w:pPr>
              <w:jc w:val="center"/>
            </w:pPr>
            <w:r w:rsidRPr="00610CA4">
              <w:t>90,3</w:t>
            </w:r>
          </w:p>
        </w:tc>
      </w:tr>
      <w:tr w:rsidR="00610CA4" w:rsidRPr="00610CA4" w14:paraId="4BE09FF2" w14:textId="77777777" w:rsidTr="00C9533D">
        <w:tc>
          <w:tcPr>
            <w:tcW w:w="5524" w:type="dxa"/>
          </w:tcPr>
          <w:p w14:paraId="03EC84DB" w14:textId="77777777" w:rsidR="00F7278A" w:rsidRPr="00610CA4" w:rsidRDefault="00F7278A" w:rsidP="00F7278A">
            <w:pPr>
              <w:jc w:val="both"/>
            </w:pPr>
            <w:r w:rsidRPr="00610CA4">
              <w:t>32 Materijalni rashodi</w:t>
            </w:r>
          </w:p>
        </w:tc>
        <w:tc>
          <w:tcPr>
            <w:tcW w:w="1275" w:type="dxa"/>
          </w:tcPr>
          <w:p w14:paraId="23B172D1" w14:textId="2E20AA65" w:rsidR="00F7278A" w:rsidRPr="00610CA4" w:rsidRDefault="00F7278A" w:rsidP="00F7278A">
            <w:pPr>
              <w:jc w:val="right"/>
            </w:pPr>
            <w:r w:rsidRPr="00610CA4">
              <w:t>2.381,21</w:t>
            </w:r>
          </w:p>
        </w:tc>
        <w:tc>
          <w:tcPr>
            <w:tcW w:w="1276" w:type="dxa"/>
          </w:tcPr>
          <w:p w14:paraId="698E8AAC" w14:textId="66B54E58" w:rsidR="00F7278A" w:rsidRPr="00610CA4" w:rsidRDefault="00F7278A" w:rsidP="00F7278A">
            <w:pPr>
              <w:jc w:val="right"/>
            </w:pPr>
            <w:r w:rsidRPr="00610CA4">
              <w:t>3.237,61</w:t>
            </w:r>
          </w:p>
        </w:tc>
        <w:tc>
          <w:tcPr>
            <w:tcW w:w="987" w:type="dxa"/>
          </w:tcPr>
          <w:p w14:paraId="1C6AE505" w14:textId="45E0D1E5" w:rsidR="00F7278A" w:rsidRPr="00610CA4" w:rsidRDefault="00F7278A" w:rsidP="00F7278A">
            <w:pPr>
              <w:jc w:val="center"/>
            </w:pPr>
            <w:r w:rsidRPr="00610CA4">
              <w:t>136,0</w:t>
            </w:r>
          </w:p>
        </w:tc>
      </w:tr>
      <w:tr w:rsidR="00610CA4" w:rsidRPr="00610CA4" w14:paraId="63C9F9DD" w14:textId="77777777" w:rsidTr="00C9533D">
        <w:tc>
          <w:tcPr>
            <w:tcW w:w="5524" w:type="dxa"/>
          </w:tcPr>
          <w:p w14:paraId="0364EA6C" w14:textId="77777777" w:rsidR="00F7278A" w:rsidRPr="00610CA4" w:rsidRDefault="00F7278A" w:rsidP="00F7278A">
            <w:pPr>
              <w:jc w:val="both"/>
            </w:pPr>
            <w:r w:rsidRPr="00610CA4">
              <w:t>34 Financijski rashodi</w:t>
            </w:r>
          </w:p>
        </w:tc>
        <w:tc>
          <w:tcPr>
            <w:tcW w:w="1275" w:type="dxa"/>
          </w:tcPr>
          <w:p w14:paraId="5181ED1A" w14:textId="468ABCB3" w:rsidR="00F7278A" w:rsidRPr="00610CA4" w:rsidRDefault="00F7278A" w:rsidP="00F7278A">
            <w:pPr>
              <w:jc w:val="right"/>
            </w:pPr>
            <w:r w:rsidRPr="00610CA4">
              <w:t>190,68</w:t>
            </w:r>
          </w:p>
        </w:tc>
        <w:tc>
          <w:tcPr>
            <w:tcW w:w="1276" w:type="dxa"/>
          </w:tcPr>
          <w:p w14:paraId="0071DD4F" w14:textId="6420BE88" w:rsidR="00F7278A" w:rsidRPr="00610CA4" w:rsidRDefault="00610CA4" w:rsidP="00F7278A">
            <w:pPr>
              <w:jc w:val="right"/>
            </w:pPr>
            <w:r w:rsidRPr="00610CA4">
              <w:t>200,35</w:t>
            </w:r>
          </w:p>
        </w:tc>
        <w:tc>
          <w:tcPr>
            <w:tcW w:w="987" w:type="dxa"/>
          </w:tcPr>
          <w:p w14:paraId="2B43D187" w14:textId="25605ADC" w:rsidR="00F7278A" w:rsidRPr="00610CA4" w:rsidRDefault="00610CA4" w:rsidP="00F7278A">
            <w:pPr>
              <w:jc w:val="center"/>
            </w:pPr>
            <w:r w:rsidRPr="00610CA4">
              <w:t>105,1</w:t>
            </w:r>
          </w:p>
        </w:tc>
      </w:tr>
      <w:tr w:rsidR="00610CA4" w:rsidRPr="00610CA4" w14:paraId="3AB6FF7C" w14:textId="77777777" w:rsidTr="00C9533D">
        <w:tc>
          <w:tcPr>
            <w:tcW w:w="5524" w:type="dxa"/>
          </w:tcPr>
          <w:p w14:paraId="5683861D" w14:textId="77777777" w:rsidR="00F7278A" w:rsidRPr="00610CA4" w:rsidRDefault="00F7278A" w:rsidP="00F7278A">
            <w:pPr>
              <w:jc w:val="both"/>
              <w:rPr>
                <w:b/>
                <w:bCs/>
              </w:rPr>
            </w:pPr>
            <w:r w:rsidRPr="00610CA4">
              <w:rPr>
                <w:b/>
                <w:bCs/>
              </w:rPr>
              <w:t>UKUPNO:</w:t>
            </w:r>
          </w:p>
        </w:tc>
        <w:tc>
          <w:tcPr>
            <w:tcW w:w="1275" w:type="dxa"/>
          </w:tcPr>
          <w:p w14:paraId="0EBCDB35" w14:textId="6FD36E94" w:rsidR="00F7278A" w:rsidRPr="00610CA4" w:rsidRDefault="00F7278A" w:rsidP="00F7278A">
            <w:pPr>
              <w:jc w:val="right"/>
              <w:rPr>
                <w:b/>
                <w:bCs/>
              </w:rPr>
            </w:pPr>
            <w:r w:rsidRPr="00610CA4">
              <w:rPr>
                <w:b/>
                <w:bCs/>
              </w:rPr>
              <w:t>37.247,04</w:t>
            </w:r>
          </w:p>
        </w:tc>
        <w:tc>
          <w:tcPr>
            <w:tcW w:w="1276" w:type="dxa"/>
          </w:tcPr>
          <w:p w14:paraId="7E323D78" w14:textId="60A0AEC1" w:rsidR="00F7278A" w:rsidRPr="00610CA4" w:rsidRDefault="00610CA4" w:rsidP="00F7278A">
            <w:pPr>
              <w:jc w:val="right"/>
              <w:rPr>
                <w:b/>
                <w:bCs/>
              </w:rPr>
            </w:pPr>
            <w:r w:rsidRPr="00610CA4">
              <w:rPr>
                <w:b/>
                <w:bCs/>
              </w:rPr>
              <w:t>34.741,58</w:t>
            </w:r>
          </w:p>
        </w:tc>
        <w:tc>
          <w:tcPr>
            <w:tcW w:w="987" w:type="dxa"/>
          </w:tcPr>
          <w:p w14:paraId="686D0DCA" w14:textId="59210DE9" w:rsidR="00F7278A" w:rsidRPr="00610CA4" w:rsidRDefault="00610CA4" w:rsidP="00F7278A">
            <w:pPr>
              <w:jc w:val="center"/>
              <w:rPr>
                <w:b/>
                <w:bCs/>
              </w:rPr>
            </w:pPr>
            <w:r w:rsidRPr="00610CA4">
              <w:rPr>
                <w:b/>
                <w:bCs/>
              </w:rPr>
              <w:t>93,3</w:t>
            </w:r>
          </w:p>
        </w:tc>
      </w:tr>
    </w:tbl>
    <w:p w14:paraId="1974109D" w14:textId="77777777" w:rsidR="006F472C" w:rsidRPr="006F472C" w:rsidRDefault="006F472C" w:rsidP="006F472C">
      <w:pPr>
        <w:spacing w:after="0"/>
        <w:jc w:val="both"/>
        <w:rPr>
          <w:color w:val="FF0000"/>
        </w:rPr>
      </w:pPr>
    </w:p>
    <w:p w14:paraId="14AE2557" w14:textId="77777777" w:rsidR="006F472C" w:rsidRPr="00B738DA" w:rsidRDefault="006F472C" w:rsidP="006F472C">
      <w:pPr>
        <w:spacing w:after="0"/>
        <w:jc w:val="center"/>
        <w:rPr>
          <w:rFonts w:cstheme="minorHAnsi"/>
          <w:i/>
          <w:iCs/>
        </w:rPr>
      </w:pPr>
      <w:r w:rsidRPr="00B738DA">
        <w:rPr>
          <w:rFonts w:cstheme="minorHAnsi"/>
          <w:i/>
          <w:iCs/>
        </w:rPr>
        <w:t>Bilješka 3. uz šifru 4 – Rashodi za nabavu nefinancijske imovine</w:t>
      </w:r>
    </w:p>
    <w:p w14:paraId="77DB26F6" w14:textId="7ED977D3" w:rsidR="006F472C" w:rsidRPr="00B738DA" w:rsidRDefault="006F472C" w:rsidP="006F472C">
      <w:pPr>
        <w:spacing w:after="0"/>
        <w:jc w:val="both"/>
        <w:rPr>
          <w:rFonts w:cstheme="minorHAnsi"/>
        </w:rPr>
      </w:pPr>
      <w:r w:rsidRPr="00B738DA">
        <w:rPr>
          <w:rFonts w:cstheme="minorHAnsi"/>
        </w:rPr>
        <w:t>Cjelokupni iznos rashoda za nabavu nefinancijske imovine odnosi se na nabavu knjižne građe. Financiran je iz kapitalne pomoći Ministarstva kulture i kao prihod iz nadležnog proračuna za financiranje rashoda za nabavu nefinancijske imovine. U</w:t>
      </w:r>
      <w:r w:rsidR="00B738DA" w:rsidRPr="00B738DA">
        <w:rPr>
          <w:rFonts w:cstheme="minorHAnsi"/>
        </w:rPr>
        <w:t xml:space="preserve">manjen </w:t>
      </w:r>
      <w:r w:rsidRPr="00B738DA">
        <w:rPr>
          <w:rFonts w:cstheme="minorHAnsi"/>
        </w:rPr>
        <w:t xml:space="preserve">je za </w:t>
      </w:r>
      <w:r w:rsidR="00B738DA" w:rsidRPr="00B738DA">
        <w:rPr>
          <w:rFonts w:cstheme="minorHAnsi"/>
        </w:rPr>
        <w:t>6,5%</w:t>
      </w:r>
      <w:r w:rsidRPr="00B738DA">
        <w:rPr>
          <w:rFonts w:cstheme="minorHAnsi"/>
        </w:rPr>
        <w:t xml:space="preserve"> u odnosu na prošlu godinu.</w:t>
      </w:r>
      <w:r w:rsidR="00B738DA">
        <w:rPr>
          <w:rFonts w:cstheme="minorHAnsi"/>
        </w:rPr>
        <w:t xml:space="preserve"> Na kraju izvještajnog razdoblja je izvršena 1. korekcija rezultata za cjelokupni iznos  od 4.234,53 €.</w:t>
      </w:r>
    </w:p>
    <w:p w14:paraId="2D729997" w14:textId="77777777" w:rsidR="006F472C" w:rsidRPr="00B738DA" w:rsidRDefault="006F472C" w:rsidP="006F472C">
      <w:pPr>
        <w:spacing w:after="0"/>
        <w:jc w:val="center"/>
        <w:rPr>
          <w:rFonts w:cstheme="minorHAnsi"/>
        </w:rPr>
      </w:pPr>
    </w:p>
    <w:tbl>
      <w:tblPr>
        <w:tblStyle w:val="Reetkatablice"/>
        <w:tblW w:w="0" w:type="auto"/>
        <w:tblLook w:val="04A0" w:firstRow="1" w:lastRow="0" w:firstColumn="1" w:lastColumn="0" w:noHBand="0" w:noVBand="1"/>
      </w:tblPr>
      <w:tblGrid>
        <w:gridCol w:w="5524"/>
        <w:gridCol w:w="1275"/>
        <w:gridCol w:w="1276"/>
        <w:gridCol w:w="987"/>
      </w:tblGrid>
      <w:tr w:rsidR="00B738DA" w:rsidRPr="00B738DA" w14:paraId="7C8220FD" w14:textId="77777777" w:rsidTr="00C9533D">
        <w:tc>
          <w:tcPr>
            <w:tcW w:w="5524" w:type="dxa"/>
          </w:tcPr>
          <w:p w14:paraId="207AF0D4" w14:textId="77777777" w:rsidR="006F472C" w:rsidRPr="00B738DA" w:rsidRDefault="006F472C" w:rsidP="00C9533D">
            <w:pPr>
              <w:jc w:val="center"/>
              <w:rPr>
                <w:b/>
                <w:bCs/>
              </w:rPr>
            </w:pPr>
            <w:r w:rsidRPr="00B738DA">
              <w:rPr>
                <w:b/>
                <w:bCs/>
              </w:rPr>
              <w:t>RASHODI</w:t>
            </w:r>
          </w:p>
        </w:tc>
        <w:tc>
          <w:tcPr>
            <w:tcW w:w="1275" w:type="dxa"/>
          </w:tcPr>
          <w:p w14:paraId="2775A69F" w14:textId="3A35555E" w:rsidR="006F472C" w:rsidRPr="00B738DA" w:rsidRDefault="00610CA4" w:rsidP="00C9533D">
            <w:pPr>
              <w:jc w:val="center"/>
              <w:rPr>
                <w:b/>
                <w:bCs/>
              </w:rPr>
            </w:pPr>
            <w:r w:rsidRPr="00B738DA">
              <w:rPr>
                <w:b/>
                <w:bCs/>
              </w:rPr>
              <w:t>2023</w:t>
            </w:r>
          </w:p>
        </w:tc>
        <w:tc>
          <w:tcPr>
            <w:tcW w:w="1276" w:type="dxa"/>
          </w:tcPr>
          <w:p w14:paraId="6785DEAD" w14:textId="715E53DB" w:rsidR="006F472C" w:rsidRPr="00B738DA" w:rsidRDefault="006F472C" w:rsidP="00C9533D">
            <w:pPr>
              <w:jc w:val="center"/>
              <w:rPr>
                <w:b/>
                <w:bCs/>
              </w:rPr>
            </w:pPr>
            <w:r w:rsidRPr="00B738DA">
              <w:rPr>
                <w:b/>
                <w:bCs/>
              </w:rPr>
              <w:t>202</w:t>
            </w:r>
            <w:r w:rsidR="00610CA4" w:rsidRPr="00B738DA">
              <w:rPr>
                <w:b/>
                <w:bCs/>
              </w:rPr>
              <w:t>4</w:t>
            </w:r>
          </w:p>
        </w:tc>
        <w:tc>
          <w:tcPr>
            <w:tcW w:w="987" w:type="dxa"/>
          </w:tcPr>
          <w:p w14:paraId="15BC868A" w14:textId="77777777" w:rsidR="006F472C" w:rsidRPr="00B738DA" w:rsidRDefault="006F472C" w:rsidP="00C9533D">
            <w:pPr>
              <w:jc w:val="center"/>
              <w:rPr>
                <w:b/>
                <w:bCs/>
              </w:rPr>
            </w:pPr>
            <w:r w:rsidRPr="00B738DA">
              <w:rPr>
                <w:b/>
                <w:bCs/>
              </w:rPr>
              <w:t>index</w:t>
            </w:r>
          </w:p>
        </w:tc>
      </w:tr>
      <w:tr w:rsidR="00B738DA" w:rsidRPr="00B738DA" w14:paraId="00883B21" w14:textId="77777777" w:rsidTr="00C9533D">
        <w:tc>
          <w:tcPr>
            <w:tcW w:w="5524" w:type="dxa"/>
          </w:tcPr>
          <w:p w14:paraId="27388758" w14:textId="77777777" w:rsidR="00610CA4" w:rsidRPr="00B738DA" w:rsidRDefault="00610CA4" w:rsidP="00610CA4">
            <w:pPr>
              <w:jc w:val="both"/>
            </w:pPr>
            <w:r w:rsidRPr="00B738DA">
              <w:t xml:space="preserve">42 </w:t>
            </w:r>
            <w:r w:rsidRPr="00B738DA">
              <w:rPr>
                <w:rFonts w:cstheme="minorHAnsi"/>
              </w:rPr>
              <w:t>Rashodi za nabavu proizvedene dugotrajne im.-KNJIGE</w:t>
            </w:r>
          </w:p>
        </w:tc>
        <w:tc>
          <w:tcPr>
            <w:tcW w:w="1275" w:type="dxa"/>
          </w:tcPr>
          <w:p w14:paraId="3EACF124" w14:textId="35C4806E" w:rsidR="00610CA4" w:rsidRPr="00B738DA" w:rsidRDefault="00610CA4" w:rsidP="00610CA4">
            <w:pPr>
              <w:jc w:val="center"/>
            </w:pPr>
            <w:r w:rsidRPr="00B738DA">
              <w:t>4.526,60</w:t>
            </w:r>
          </w:p>
        </w:tc>
        <w:tc>
          <w:tcPr>
            <w:tcW w:w="1276" w:type="dxa"/>
          </w:tcPr>
          <w:p w14:paraId="0BABD86F" w14:textId="19278371" w:rsidR="00610CA4" w:rsidRPr="00B738DA" w:rsidRDefault="00610CA4" w:rsidP="00AF2CA6">
            <w:pPr>
              <w:jc w:val="center"/>
            </w:pPr>
            <w:r w:rsidRPr="00B738DA">
              <w:t>4.234,53</w:t>
            </w:r>
          </w:p>
        </w:tc>
        <w:tc>
          <w:tcPr>
            <w:tcW w:w="987" w:type="dxa"/>
          </w:tcPr>
          <w:p w14:paraId="5A9AD272" w14:textId="0F6F211A" w:rsidR="00610CA4" w:rsidRPr="00B738DA" w:rsidRDefault="00610CA4" w:rsidP="00AF2CA6">
            <w:pPr>
              <w:jc w:val="center"/>
            </w:pPr>
            <w:r w:rsidRPr="00B738DA">
              <w:t>93,5</w:t>
            </w:r>
          </w:p>
        </w:tc>
      </w:tr>
    </w:tbl>
    <w:p w14:paraId="234631F9" w14:textId="77777777" w:rsidR="00AF2CA6" w:rsidRPr="00B738DA" w:rsidRDefault="00AF2CA6"/>
    <w:tbl>
      <w:tblPr>
        <w:tblStyle w:val="Reetkatablice"/>
        <w:tblW w:w="0" w:type="auto"/>
        <w:tblInd w:w="1696" w:type="dxa"/>
        <w:tblLook w:val="04A0" w:firstRow="1" w:lastRow="0" w:firstColumn="1" w:lastColumn="0" w:noHBand="0" w:noVBand="1"/>
      </w:tblPr>
      <w:tblGrid>
        <w:gridCol w:w="5103"/>
        <w:gridCol w:w="1276"/>
      </w:tblGrid>
      <w:tr w:rsidR="00B738DA" w:rsidRPr="00B738DA" w14:paraId="7B038073" w14:textId="77777777" w:rsidTr="00B738DA">
        <w:tc>
          <w:tcPr>
            <w:tcW w:w="5103" w:type="dxa"/>
          </w:tcPr>
          <w:p w14:paraId="146DD52E" w14:textId="34C1FF42" w:rsidR="00AF2CA6" w:rsidRPr="00B738DA" w:rsidRDefault="00AF2CA6" w:rsidP="00AF2CA6">
            <w:pPr>
              <w:jc w:val="center"/>
              <w:rPr>
                <w:i/>
                <w:iCs/>
                <w:sz w:val="20"/>
                <w:szCs w:val="20"/>
              </w:rPr>
            </w:pPr>
            <w:r w:rsidRPr="00B738DA">
              <w:rPr>
                <w:i/>
                <w:iCs/>
                <w:sz w:val="20"/>
                <w:szCs w:val="20"/>
              </w:rPr>
              <w:t>Od Ministarstv</w:t>
            </w:r>
            <w:r w:rsidR="00745798">
              <w:rPr>
                <w:i/>
                <w:iCs/>
                <w:sz w:val="20"/>
                <w:szCs w:val="20"/>
              </w:rPr>
              <w:t>a</w:t>
            </w:r>
            <w:r w:rsidRPr="00B738DA">
              <w:rPr>
                <w:i/>
                <w:iCs/>
                <w:sz w:val="20"/>
                <w:szCs w:val="20"/>
              </w:rPr>
              <w:t xml:space="preserve"> kulture </w:t>
            </w:r>
            <w:r w:rsidR="00B738DA" w:rsidRPr="00B738DA">
              <w:rPr>
                <w:i/>
                <w:iCs/>
                <w:sz w:val="20"/>
                <w:szCs w:val="20"/>
              </w:rPr>
              <w:t xml:space="preserve">   </w:t>
            </w:r>
            <w:r w:rsidRPr="00B738DA">
              <w:rPr>
                <w:i/>
                <w:iCs/>
                <w:sz w:val="20"/>
                <w:szCs w:val="20"/>
              </w:rPr>
              <w:t>63,76%</w:t>
            </w:r>
          </w:p>
        </w:tc>
        <w:tc>
          <w:tcPr>
            <w:tcW w:w="1276" w:type="dxa"/>
          </w:tcPr>
          <w:p w14:paraId="66A24A26" w14:textId="488A38D1" w:rsidR="00AF2CA6" w:rsidRPr="00B738DA" w:rsidRDefault="00AF2CA6" w:rsidP="00AF2CA6">
            <w:pPr>
              <w:jc w:val="center"/>
              <w:rPr>
                <w:i/>
                <w:iCs/>
                <w:sz w:val="20"/>
                <w:szCs w:val="20"/>
              </w:rPr>
            </w:pPr>
            <w:r w:rsidRPr="00B738DA">
              <w:rPr>
                <w:i/>
                <w:iCs/>
                <w:sz w:val="20"/>
                <w:szCs w:val="20"/>
              </w:rPr>
              <w:t>2.700,00</w:t>
            </w:r>
          </w:p>
        </w:tc>
      </w:tr>
      <w:tr w:rsidR="002D7AB7" w:rsidRPr="002D7AB7" w14:paraId="2EC38C7B" w14:textId="77777777" w:rsidTr="00B738DA">
        <w:trPr>
          <w:trHeight w:val="204"/>
        </w:trPr>
        <w:tc>
          <w:tcPr>
            <w:tcW w:w="5103" w:type="dxa"/>
          </w:tcPr>
          <w:p w14:paraId="199D470F" w14:textId="39F41962" w:rsidR="00AF2CA6" w:rsidRPr="002D7AB7" w:rsidRDefault="00AF2CA6" w:rsidP="00B738DA">
            <w:pPr>
              <w:jc w:val="center"/>
              <w:rPr>
                <w:i/>
                <w:iCs/>
                <w:sz w:val="20"/>
                <w:szCs w:val="20"/>
              </w:rPr>
            </w:pPr>
            <w:r w:rsidRPr="002D7AB7">
              <w:rPr>
                <w:i/>
                <w:iCs/>
                <w:sz w:val="20"/>
                <w:szCs w:val="20"/>
              </w:rPr>
              <w:t>Od Općin</w:t>
            </w:r>
            <w:r w:rsidR="00745798">
              <w:rPr>
                <w:i/>
                <w:iCs/>
                <w:sz w:val="20"/>
                <w:szCs w:val="20"/>
              </w:rPr>
              <w:t>e</w:t>
            </w:r>
            <w:r w:rsidRPr="002D7AB7">
              <w:rPr>
                <w:i/>
                <w:iCs/>
                <w:sz w:val="20"/>
                <w:szCs w:val="20"/>
              </w:rPr>
              <w:t xml:space="preserve"> Sali </w:t>
            </w:r>
            <w:r w:rsidR="00B738DA" w:rsidRPr="002D7AB7">
              <w:rPr>
                <w:i/>
                <w:iCs/>
                <w:sz w:val="20"/>
                <w:szCs w:val="20"/>
              </w:rPr>
              <w:t xml:space="preserve">   </w:t>
            </w:r>
            <w:r w:rsidRPr="002D7AB7">
              <w:rPr>
                <w:i/>
                <w:iCs/>
                <w:sz w:val="20"/>
                <w:szCs w:val="20"/>
              </w:rPr>
              <w:t>36,24%</w:t>
            </w:r>
          </w:p>
        </w:tc>
        <w:tc>
          <w:tcPr>
            <w:tcW w:w="1276" w:type="dxa"/>
          </w:tcPr>
          <w:p w14:paraId="5C57C8E9" w14:textId="44377502" w:rsidR="00AF2CA6" w:rsidRPr="002D7AB7" w:rsidRDefault="00AF2CA6" w:rsidP="00B738DA">
            <w:pPr>
              <w:jc w:val="center"/>
              <w:rPr>
                <w:i/>
                <w:iCs/>
                <w:sz w:val="20"/>
                <w:szCs w:val="20"/>
              </w:rPr>
            </w:pPr>
            <w:r w:rsidRPr="002D7AB7">
              <w:rPr>
                <w:sz w:val="20"/>
                <w:szCs w:val="20"/>
              </w:rPr>
              <w:t>1.534,53</w:t>
            </w:r>
          </w:p>
        </w:tc>
      </w:tr>
    </w:tbl>
    <w:p w14:paraId="7D15E24E" w14:textId="77777777" w:rsidR="006F472C" w:rsidRPr="002D7AB7" w:rsidRDefault="006F472C" w:rsidP="006F472C">
      <w:pPr>
        <w:spacing w:after="0"/>
        <w:jc w:val="center"/>
      </w:pPr>
    </w:p>
    <w:p w14:paraId="29E31B6F" w14:textId="2238B1BB" w:rsidR="00C5398E" w:rsidRPr="002D7AB7" w:rsidRDefault="00C5398E" w:rsidP="00C5398E">
      <w:pPr>
        <w:spacing w:after="0"/>
        <w:ind w:left="82" w:right="29" w:hanging="10"/>
        <w:jc w:val="center"/>
        <w:rPr>
          <w:i/>
          <w:iCs/>
        </w:rPr>
      </w:pPr>
      <w:bookmarkStart w:id="0" w:name="_Hlk188617975"/>
      <w:r w:rsidRPr="002D7AB7">
        <w:rPr>
          <w:rFonts w:cstheme="minorHAnsi"/>
          <w:i/>
          <w:iCs/>
        </w:rPr>
        <w:t xml:space="preserve">Bilješka </w:t>
      </w:r>
      <w:r w:rsidR="001E785B" w:rsidRPr="002D7AB7">
        <w:rPr>
          <w:rFonts w:cstheme="minorHAnsi"/>
          <w:i/>
          <w:iCs/>
        </w:rPr>
        <w:t>4</w:t>
      </w:r>
      <w:r w:rsidRPr="002D7AB7">
        <w:rPr>
          <w:rFonts w:cstheme="minorHAnsi"/>
          <w:i/>
          <w:iCs/>
        </w:rPr>
        <w:t xml:space="preserve">. uz šifru </w:t>
      </w:r>
      <w:r w:rsidRPr="002D7AB7">
        <w:rPr>
          <w:i/>
          <w:iCs/>
        </w:rPr>
        <w:t xml:space="preserve"> Y006 - Manjak prihoda i primitaka za pokriće u sljedećem razdoblju</w:t>
      </w:r>
    </w:p>
    <w:p w14:paraId="7A04D19D" w14:textId="537B1B12" w:rsidR="00C5398E" w:rsidRPr="002D7AB7" w:rsidRDefault="00C5398E" w:rsidP="00A560FC">
      <w:pPr>
        <w:spacing w:after="0"/>
        <w:ind w:left="33" w:right="14"/>
        <w:jc w:val="both"/>
      </w:pPr>
      <w:r w:rsidRPr="002D7AB7">
        <w:t>U 2024. godini Hrvatska knjižnica i čitaonica Sali je ostvarila 37.365,32 € prihoda poslovanja, što je za 13,1% manje od protekle godine, 34.741,58€ rashoda poslovanja koji su za 3,3% manji u odnosu na proteklu godinu, te 4.234,53€ rashoda za nabavu nefinancijske imovine.  Iz toga proizlazi da je u 2024. godini ostvareno 2.623,74€ viška prihoda poslovanja i 4.234,53€ manjka prihoda od nefinancijske imovine, odnosno ukupno 1.610,79€ manjka prihoda. Zajedno sa prenesenim rezultatom iz protekle godine od 511,79 € čine ukupan manjak prihoda od</w:t>
      </w:r>
      <w:r w:rsidR="001E785B" w:rsidRPr="002D7AB7">
        <w:t xml:space="preserve"> </w:t>
      </w:r>
      <w:r w:rsidRPr="002D7AB7">
        <w:t xml:space="preserve">2.122,58€. </w:t>
      </w:r>
    </w:p>
    <w:p w14:paraId="7005CBD1" w14:textId="271FE83D" w:rsidR="006359F1" w:rsidRPr="002D7AB7" w:rsidRDefault="00C5398E" w:rsidP="00C5398E">
      <w:pPr>
        <w:spacing w:after="26"/>
        <w:ind w:left="33" w:right="14"/>
        <w:jc w:val="both"/>
      </w:pPr>
      <w:r w:rsidRPr="002D7AB7">
        <w:t xml:space="preserve">Temeljem članka 82. Pravilnika o proračunskom računovodstvu provedena je 1. korekcija utvrđenog rezultata u iznosu uplaćenih kapitalnih sredstava koji su </w:t>
      </w:r>
      <w:r w:rsidR="006359F1" w:rsidRPr="002D7AB7">
        <w:t xml:space="preserve">u istoj godini </w:t>
      </w:r>
      <w:r w:rsidRPr="002D7AB7">
        <w:t>utrošeni za nabavu nefinancijske imovin</w:t>
      </w:r>
      <w:r w:rsidR="006359F1" w:rsidRPr="002D7AB7">
        <w:t>e</w:t>
      </w:r>
      <w:r w:rsidRPr="002D7AB7">
        <w:t>, a evidentirani su na računima 6332-Kapitalne pomoći proračunu iz drugih proračuna (2.</w:t>
      </w:r>
      <w:r w:rsidR="006359F1" w:rsidRPr="002D7AB7">
        <w:t>7</w:t>
      </w:r>
      <w:r w:rsidRPr="002D7AB7">
        <w:t>00,00</w:t>
      </w:r>
      <w:r w:rsidR="006359F1" w:rsidRPr="002D7AB7">
        <w:t>€</w:t>
      </w:r>
      <w:r w:rsidRPr="002D7AB7">
        <w:t>) i 6712</w:t>
      </w:r>
      <w:r w:rsidR="00A560FC" w:rsidRPr="002D7AB7">
        <w:t>1</w:t>
      </w:r>
      <w:r w:rsidRPr="002D7AB7">
        <w:t>-Prihodi iz nadležnog proračuna za financiranje rashoda za nabavu nefinancijske imovine (</w:t>
      </w:r>
      <w:r w:rsidR="006359F1" w:rsidRPr="002D7AB7">
        <w:t>1.534,53€</w:t>
      </w:r>
      <w:r w:rsidRPr="002D7AB7">
        <w:t xml:space="preserve">). </w:t>
      </w:r>
    </w:p>
    <w:p w14:paraId="61496F3B" w14:textId="7A76F4CE" w:rsidR="00A560FC" w:rsidRPr="002D7AB7" w:rsidRDefault="00A560FC" w:rsidP="00A560FC">
      <w:pPr>
        <w:spacing w:after="0"/>
        <w:ind w:left="33" w:right="14"/>
        <w:jc w:val="both"/>
      </w:pPr>
      <w:r w:rsidRPr="002D7AB7">
        <w:t>K</w:t>
      </w:r>
      <w:r w:rsidR="00C5398E" w:rsidRPr="002D7AB7">
        <w:t>onačni rezultat je evidentiran kao</w:t>
      </w:r>
      <w:r w:rsidRPr="002D7AB7">
        <w:t xml:space="preserve"> </w:t>
      </w:r>
      <w:r w:rsidRPr="002D7AB7">
        <w:rPr>
          <w:rFonts w:ascii="Calibri" w:eastAsia="Calibri" w:hAnsi="Calibri" w:cs="Calibri"/>
        </w:rPr>
        <w:t>1.610,79 €</w:t>
      </w:r>
      <w:r w:rsidR="00C5398E" w:rsidRPr="002D7AB7">
        <w:rPr>
          <w:rFonts w:ascii="Calibri" w:eastAsia="Calibri" w:hAnsi="Calibri" w:cs="Calibri"/>
        </w:rPr>
        <w:t xml:space="preserve"> manjka prihoda poslovanja</w:t>
      </w:r>
      <w:r w:rsidR="00AF12E9">
        <w:rPr>
          <w:rFonts w:ascii="Calibri" w:eastAsia="Calibri" w:hAnsi="Calibri" w:cs="Calibri"/>
        </w:rPr>
        <w:t xml:space="preserve"> na IF-Opći prihodi i primici</w:t>
      </w:r>
      <w:r w:rsidR="00C5398E" w:rsidRPr="002D7AB7">
        <w:rPr>
          <w:rFonts w:ascii="Calibri" w:eastAsia="Calibri" w:hAnsi="Calibri" w:cs="Calibri"/>
        </w:rPr>
        <w:t xml:space="preserve"> i</w:t>
      </w:r>
      <w:r w:rsidRPr="002D7AB7">
        <w:rPr>
          <w:rFonts w:ascii="Calibri" w:eastAsia="Calibri" w:hAnsi="Calibri" w:cs="Calibri"/>
        </w:rPr>
        <w:t xml:space="preserve"> </w:t>
      </w:r>
      <w:r w:rsidRPr="002D7AB7">
        <w:t>511,79 €</w:t>
      </w:r>
      <w:r w:rsidR="00C5398E" w:rsidRPr="002D7AB7">
        <w:t xml:space="preserve"> manjka prihoda od nefinancijske imovine</w:t>
      </w:r>
      <w:r w:rsidR="00AF12E9">
        <w:t xml:space="preserve"> na IF-Opći prihodi i primici</w:t>
      </w:r>
      <w:r w:rsidR="00C5398E" w:rsidRPr="002D7AB7">
        <w:t xml:space="preserve">. </w:t>
      </w:r>
    </w:p>
    <w:bookmarkEnd w:id="0"/>
    <w:p w14:paraId="5A91E2A7" w14:textId="77777777" w:rsidR="00AF12E9" w:rsidRDefault="00AF12E9" w:rsidP="006F472C">
      <w:pPr>
        <w:spacing w:after="0"/>
        <w:jc w:val="center"/>
        <w:rPr>
          <w:rFonts w:cstheme="minorHAnsi"/>
          <w:b/>
          <w:sz w:val="24"/>
          <w:szCs w:val="24"/>
        </w:rPr>
      </w:pPr>
    </w:p>
    <w:p w14:paraId="4B97C5BE" w14:textId="36FB1CF0" w:rsidR="006F472C" w:rsidRPr="00EC272A" w:rsidRDefault="006F472C" w:rsidP="006F472C">
      <w:pPr>
        <w:spacing w:after="0"/>
        <w:jc w:val="center"/>
        <w:rPr>
          <w:rFonts w:cstheme="minorHAnsi"/>
          <w:b/>
          <w:sz w:val="24"/>
          <w:szCs w:val="24"/>
        </w:rPr>
      </w:pPr>
      <w:r w:rsidRPr="00EC272A">
        <w:rPr>
          <w:rFonts w:cstheme="minorHAnsi"/>
          <w:b/>
          <w:sz w:val="24"/>
          <w:szCs w:val="24"/>
        </w:rPr>
        <w:t xml:space="preserve">Bilješke uz obrazac OBVEZE </w:t>
      </w:r>
    </w:p>
    <w:p w14:paraId="1889EA29" w14:textId="77777777" w:rsidR="006F472C" w:rsidRPr="00EC272A" w:rsidRDefault="006F472C" w:rsidP="006F472C">
      <w:pPr>
        <w:spacing w:after="0"/>
        <w:jc w:val="center"/>
        <w:rPr>
          <w:rFonts w:cstheme="minorHAnsi"/>
          <w:i/>
          <w:iCs/>
        </w:rPr>
      </w:pPr>
      <w:r w:rsidRPr="00EC272A">
        <w:rPr>
          <w:rFonts w:cstheme="minorHAnsi"/>
          <w:i/>
          <w:iCs/>
        </w:rPr>
        <w:t>Bilješka 1. uz šifru V006 – Stanje obveza na kraju izvještajnog razdoblja</w:t>
      </w:r>
    </w:p>
    <w:p w14:paraId="7DE8DC17" w14:textId="1E30402F" w:rsidR="006F472C" w:rsidRPr="00EC272A" w:rsidRDefault="006F472C" w:rsidP="006F472C">
      <w:pPr>
        <w:spacing w:after="0"/>
        <w:jc w:val="both"/>
      </w:pPr>
      <w:r w:rsidRPr="00EC272A">
        <w:t xml:space="preserve">Obveze su </w:t>
      </w:r>
      <w:r w:rsidR="00B738DA" w:rsidRPr="00EC272A">
        <w:t>uvećane</w:t>
      </w:r>
      <w:r w:rsidR="00AF12E9">
        <w:t xml:space="preserve"> </w:t>
      </w:r>
      <w:r w:rsidRPr="00EC272A">
        <w:t>u odnosu na stanje na početku razdoblja</w:t>
      </w:r>
      <w:r w:rsidR="00B738DA" w:rsidRPr="00EC272A">
        <w:t>. Uvećanje se odnosi na obveze za zaposlen</w:t>
      </w:r>
      <w:r w:rsidR="001D6056" w:rsidRPr="00EC272A">
        <w:t>e</w:t>
      </w:r>
      <w:r w:rsidR="00EC272A" w:rsidRPr="00EC272A">
        <w:t>, a</w:t>
      </w:r>
      <w:r w:rsidR="001D6056" w:rsidRPr="00EC272A">
        <w:t xml:space="preserve"> radi plaće djelatnice koja je početkom godine preko zavoda koristila naknadu za porodiljni dopust, a</w:t>
      </w:r>
      <w:r w:rsidR="00EC272A" w:rsidRPr="00EC272A">
        <w:t xml:space="preserve"> tek</w:t>
      </w:r>
      <w:r w:rsidR="001D6056" w:rsidRPr="00EC272A">
        <w:t xml:space="preserve"> istekom porodiljnog joj je isplaćivana plaća. Od svih obveza</w:t>
      </w:r>
      <w:r w:rsidR="00EC272A">
        <w:t xml:space="preserve"> jedan </w:t>
      </w:r>
      <w:r w:rsidR="001D6056" w:rsidRPr="00EC272A">
        <w:t xml:space="preserve"> račun </w:t>
      </w:r>
      <w:r w:rsidR="00EC272A" w:rsidRPr="00EC272A">
        <w:t xml:space="preserve">za energiju ima </w:t>
      </w:r>
      <w:r w:rsidR="00EC272A" w:rsidRPr="00EC272A">
        <w:lastRenderedPageBreak/>
        <w:t xml:space="preserve">zakašnjelo plaćanje, a sve ostale obveze </w:t>
      </w:r>
      <w:r w:rsidRPr="00EC272A">
        <w:t>spadaju u nedospjele obveze</w:t>
      </w:r>
      <w:r w:rsidR="00AF12E9">
        <w:t>.</w:t>
      </w:r>
      <w:r w:rsidRPr="00EC272A">
        <w:t xml:space="preserve"> </w:t>
      </w:r>
      <w:r w:rsidR="00AF12E9">
        <w:t>S</w:t>
      </w:r>
      <w:r w:rsidRPr="00EC272A">
        <w:t>ve</w:t>
      </w:r>
      <w:r w:rsidR="00AF12E9">
        <w:t xml:space="preserve"> su</w:t>
      </w:r>
      <w:r w:rsidRPr="00EC272A">
        <w:t xml:space="preserve"> podmirene u siječnju 202</w:t>
      </w:r>
      <w:r w:rsidR="00EC272A" w:rsidRPr="00EC272A">
        <w:t>5</w:t>
      </w:r>
      <w:r w:rsidRPr="00EC272A">
        <w:t>. godine.</w:t>
      </w:r>
    </w:p>
    <w:p w14:paraId="69505D35" w14:textId="77777777" w:rsidR="006F472C" w:rsidRPr="00EC272A" w:rsidRDefault="006F472C" w:rsidP="006F472C">
      <w:pPr>
        <w:spacing w:after="0"/>
        <w:jc w:val="both"/>
      </w:pPr>
    </w:p>
    <w:p w14:paraId="4B14A806" w14:textId="77777777" w:rsidR="006F472C" w:rsidRPr="00EC272A" w:rsidRDefault="006F472C" w:rsidP="006F472C">
      <w:pPr>
        <w:spacing w:after="0"/>
        <w:jc w:val="center"/>
        <w:rPr>
          <w:rFonts w:cstheme="minorHAnsi"/>
          <w:sz w:val="24"/>
          <w:szCs w:val="24"/>
        </w:rPr>
      </w:pPr>
      <w:r w:rsidRPr="00EC272A">
        <w:rPr>
          <w:rFonts w:cstheme="minorHAnsi"/>
          <w:b/>
          <w:sz w:val="24"/>
          <w:szCs w:val="24"/>
        </w:rPr>
        <w:t>Bilješke uz obrazac RAS-funkcijski</w:t>
      </w:r>
    </w:p>
    <w:p w14:paraId="727ECBFD" w14:textId="77777777" w:rsidR="006F472C" w:rsidRPr="00EC272A" w:rsidRDefault="006F472C" w:rsidP="006F472C">
      <w:pPr>
        <w:spacing w:after="0"/>
        <w:jc w:val="center"/>
        <w:rPr>
          <w:rFonts w:cstheme="minorHAnsi"/>
          <w:i/>
          <w:iCs/>
        </w:rPr>
      </w:pPr>
      <w:r w:rsidRPr="00EC272A">
        <w:rPr>
          <w:rFonts w:cstheme="minorHAnsi"/>
          <w:i/>
          <w:iCs/>
        </w:rPr>
        <w:t>Bilješka 1. uz šifru 081 – Službe rekreacije i sporta</w:t>
      </w:r>
    </w:p>
    <w:p w14:paraId="056492A3" w14:textId="77777777" w:rsidR="006F472C" w:rsidRPr="00EC272A" w:rsidRDefault="006F472C" w:rsidP="006F472C">
      <w:pPr>
        <w:spacing w:after="0"/>
        <w:jc w:val="both"/>
        <w:rPr>
          <w:rFonts w:cstheme="minorHAnsi"/>
        </w:rPr>
      </w:pPr>
      <w:r w:rsidRPr="00EC272A">
        <w:rPr>
          <w:rFonts w:cstheme="minorHAnsi"/>
        </w:rPr>
        <w:t>Iznos naveden pod ovim šifrom odgovara ukupno iskazanim rashodima poslovanja i rashodima za nabavu proizvedene dugotrajne nefinancijske imovine.</w:t>
      </w:r>
    </w:p>
    <w:p w14:paraId="7E5A3614" w14:textId="77777777" w:rsidR="006F472C" w:rsidRPr="00EC272A" w:rsidRDefault="006F472C" w:rsidP="006F472C">
      <w:pPr>
        <w:spacing w:after="0"/>
        <w:jc w:val="both"/>
      </w:pPr>
      <w:r w:rsidRPr="00EC272A">
        <w:t xml:space="preserve"> </w:t>
      </w:r>
    </w:p>
    <w:p w14:paraId="65D98650" w14:textId="4E4CDC3B" w:rsidR="006F472C" w:rsidRPr="00EC272A" w:rsidRDefault="006F472C" w:rsidP="006F472C">
      <w:pPr>
        <w:spacing w:after="0"/>
        <w:jc w:val="both"/>
      </w:pPr>
      <w:r w:rsidRPr="00EC272A">
        <w:t>U Salima, 31.01.202</w:t>
      </w:r>
      <w:r w:rsidR="00EC272A">
        <w:t>5</w:t>
      </w:r>
      <w:r w:rsidRPr="00EC272A">
        <w:t>. godine</w:t>
      </w:r>
    </w:p>
    <w:p w14:paraId="65029E60" w14:textId="77777777" w:rsidR="006F472C" w:rsidRPr="00EC272A" w:rsidRDefault="006F472C" w:rsidP="006F472C">
      <w:pPr>
        <w:spacing w:after="0"/>
        <w:jc w:val="both"/>
      </w:pPr>
    </w:p>
    <w:p w14:paraId="3082B79F" w14:textId="77777777" w:rsidR="006F472C" w:rsidRPr="00EC272A" w:rsidRDefault="006F472C" w:rsidP="006F472C">
      <w:pPr>
        <w:spacing w:after="0"/>
        <w:rPr>
          <w:rFonts w:cstheme="minorHAnsi"/>
        </w:rPr>
      </w:pPr>
      <w:r w:rsidRPr="00EC272A">
        <w:rPr>
          <w:rFonts w:cstheme="minorHAnsi"/>
        </w:rPr>
        <w:t>Osoba za kontaktiranje/kontakt:</w:t>
      </w:r>
      <w:r w:rsidRPr="00EC272A">
        <w:rPr>
          <w:rFonts w:cstheme="minorHAnsi"/>
        </w:rPr>
        <w:tab/>
        <w:t>Jelena Grbin/023377042</w:t>
      </w:r>
    </w:p>
    <w:p w14:paraId="21CB1413" w14:textId="77777777" w:rsidR="006F472C" w:rsidRPr="00EC272A" w:rsidRDefault="006F472C" w:rsidP="006F472C">
      <w:pPr>
        <w:spacing w:after="0"/>
        <w:rPr>
          <w:rFonts w:cstheme="minorHAnsi"/>
        </w:rPr>
      </w:pPr>
      <w:r w:rsidRPr="00EC272A">
        <w:rPr>
          <w:rFonts w:cstheme="minorHAnsi"/>
        </w:rPr>
        <w:t xml:space="preserve">Osoba koja je izradila </w:t>
      </w:r>
      <w:proofErr w:type="spellStart"/>
      <w:r w:rsidRPr="00EC272A">
        <w:rPr>
          <w:rFonts w:cstheme="minorHAnsi"/>
        </w:rPr>
        <w:t>finan</w:t>
      </w:r>
      <w:proofErr w:type="spellEnd"/>
      <w:r w:rsidRPr="00EC272A">
        <w:rPr>
          <w:rFonts w:cstheme="minorHAnsi"/>
        </w:rPr>
        <w:t xml:space="preserve">. </w:t>
      </w:r>
      <w:proofErr w:type="spellStart"/>
      <w:r w:rsidRPr="00EC272A">
        <w:rPr>
          <w:rFonts w:cstheme="minorHAnsi"/>
        </w:rPr>
        <w:t>Izvješt</w:t>
      </w:r>
      <w:proofErr w:type="spellEnd"/>
      <w:r w:rsidRPr="00EC272A">
        <w:rPr>
          <w:rFonts w:cstheme="minorHAnsi"/>
        </w:rPr>
        <w:t>.:</w:t>
      </w:r>
      <w:r w:rsidRPr="00EC272A">
        <w:rPr>
          <w:rFonts w:cstheme="minorHAnsi"/>
        </w:rPr>
        <w:tab/>
        <w:t xml:space="preserve">Jelena Grbin </w:t>
      </w:r>
      <w:r w:rsidRPr="00EC272A">
        <w:rPr>
          <w:rFonts w:cstheme="minorHAnsi"/>
        </w:rPr>
        <w:tab/>
      </w:r>
    </w:p>
    <w:p w14:paraId="06CDD10E" w14:textId="77777777" w:rsidR="006F472C" w:rsidRPr="00EC272A" w:rsidRDefault="006F472C" w:rsidP="006F472C">
      <w:pPr>
        <w:spacing w:after="0"/>
        <w:ind w:left="5664" w:firstLine="708"/>
        <w:rPr>
          <w:rFonts w:cstheme="minorHAnsi"/>
        </w:rPr>
      </w:pPr>
    </w:p>
    <w:p w14:paraId="20D9C9C0" w14:textId="77777777" w:rsidR="006F472C" w:rsidRPr="00EC272A" w:rsidRDefault="006F472C" w:rsidP="006F472C">
      <w:pPr>
        <w:spacing w:after="0"/>
        <w:ind w:left="5664" w:firstLine="708"/>
      </w:pPr>
      <w:r w:rsidRPr="00EC272A">
        <w:rPr>
          <w:rFonts w:cstheme="minorHAnsi"/>
        </w:rPr>
        <w:t>Ravnatelj: Ante Mihić</w:t>
      </w:r>
    </w:p>
    <w:p w14:paraId="5E1D7F0C" w14:textId="77777777" w:rsidR="006F472C" w:rsidRPr="00EC272A" w:rsidRDefault="006F472C" w:rsidP="006F472C">
      <w:pPr>
        <w:spacing w:after="0"/>
        <w:jc w:val="both"/>
      </w:pPr>
    </w:p>
    <w:p w14:paraId="23D68131" w14:textId="77777777" w:rsidR="00570F93" w:rsidRDefault="00570F93"/>
    <w:sectPr w:rsidR="00570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3DE4"/>
    <w:multiLevelType w:val="hybridMultilevel"/>
    <w:tmpl w:val="E6CA76EC"/>
    <w:lvl w:ilvl="0" w:tplc="D634143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4556177"/>
    <w:multiLevelType w:val="hybridMultilevel"/>
    <w:tmpl w:val="DCB6CB80"/>
    <w:lvl w:ilvl="0" w:tplc="9878C2C0">
      <w:start w:val="1"/>
      <w:numFmt w:val="bullet"/>
      <w:lvlText w:val="•"/>
      <w:lvlJc w:val="left"/>
      <w:pPr>
        <w:ind w:left="2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E4BED93E">
      <w:start w:val="1"/>
      <w:numFmt w:val="bullet"/>
      <w:lvlText w:val="o"/>
      <w:lvlJc w:val="left"/>
      <w:pPr>
        <w:ind w:left="145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40C7956">
      <w:start w:val="1"/>
      <w:numFmt w:val="bullet"/>
      <w:lvlText w:val="▪"/>
      <w:lvlJc w:val="left"/>
      <w:pPr>
        <w:ind w:left="217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7F52F260">
      <w:start w:val="1"/>
      <w:numFmt w:val="bullet"/>
      <w:lvlText w:val="•"/>
      <w:lvlJc w:val="left"/>
      <w:pPr>
        <w:ind w:left="289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F7A3872">
      <w:start w:val="1"/>
      <w:numFmt w:val="bullet"/>
      <w:lvlText w:val="o"/>
      <w:lvlJc w:val="left"/>
      <w:pPr>
        <w:ind w:left="361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F7284C4A">
      <w:start w:val="1"/>
      <w:numFmt w:val="bullet"/>
      <w:lvlText w:val="▪"/>
      <w:lvlJc w:val="left"/>
      <w:pPr>
        <w:ind w:left="433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06E5A2">
      <w:start w:val="1"/>
      <w:numFmt w:val="bullet"/>
      <w:lvlText w:val="•"/>
      <w:lvlJc w:val="left"/>
      <w:pPr>
        <w:ind w:left="505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042C6E08">
      <w:start w:val="1"/>
      <w:numFmt w:val="bullet"/>
      <w:lvlText w:val="o"/>
      <w:lvlJc w:val="left"/>
      <w:pPr>
        <w:ind w:left="577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AECE9EDE">
      <w:start w:val="1"/>
      <w:numFmt w:val="bullet"/>
      <w:lvlText w:val="▪"/>
      <w:lvlJc w:val="left"/>
      <w:pPr>
        <w:ind w:left="649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67364FB6"/>
    <w:multiLevelType w:val="hybridMultilevel"/>
    <w:tmpl w:val="916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1833879">
    <w:abstractNumId w:val="2"/>
  </w:num>
  <w:num w:numId="2" w16cid:durableId="974986427">
    <w:abstractNumId w:val="0"/>
  </w:num>
  <w:num w:numId="3" w16cid:durableId="122437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2C"/>
    <w:rsid w:val="000D70B7"/>
    <w:rsid w:val="001D3B4F"/>
    <w:rsid w:val="001D6056"/>
    <w:rsid w:val="001E785B"/>
    <w:rsid w:val="00224298"/>
    <w:rsid w:val="002D7AB7"/>
    <w:rsid w:val="002E7FD9"/>
    <w:rsid w:val="003A58F8"/>
    <w:rsid w:val="004B5C6B"/>
    <w:rsid w:val="00570F93"/>
    <w:rsid w:val="005A3035"/>
    <w:rsid w:val="00610CA4"/>
    <w:rsid w:val="006237EB"/>
    <w:rsid w:val="006359F1"/>
    <w:rsid w:val="006F472C"/>
    <w:rsid w:val="00745798"/>
    <w:rsid w:val="007E43FA"/>
    <w:rsid w:val="00861ACF"/>
    <w:rsid w:val="009938FA"/>
    <w:rsid w:val="009C2370"/>
    <w:rsid w:val="009F08D9"/>
    <w:rsid w:val="00A560FC"/>
    <w:rsid w:val="00AF12E9"/>
    <w:rsid w:val="00AF2CA6"/>
    <w:rsid w:val="00B51565"/>
    <w:rsid w:val="00B738DA"/>
    <w:rsid w:val="00C255CA"/>
    <w:rsid w:val="00C5398E"/>
    <w:rsid w:val="00C864B3"/>
    <w:rsid w:val="00CF0690"/>
    <w:rsid w:val="00D7734E"/>
    <w:rsid w:val="00D82149"/>
    <w:rsid w:val="00DB52C7"/>
    <w:rsid w:val="00E571A1"/>
    <w:rsid w:val="00EC272A"/>
    <w:rsid w:val="00F33BEA"/>
    <w:rsid w:val="00F4451A"/>
    <w:rsid w:val="00F727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7A87"/>
  <w15:chartTrackingRefBased/>
  <w15:docId w15:val="{28830B5F-C603-410B-B690-4A18B5B4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2C"/>
    <w:rPr>
      <w:kern w:val="0"/>
      <w14:ligatures w14:val="none"/>
    </w:rPr>
  </w:style>
  <w:style w:type="paragraph" w:styleId="Naslov1">
    <w:name w:val="heading 1"/>
    <w:basedOn w:val="Normal"/>
    <w:next w:val="Normal"/>
    <w:link w:val="Naslov1Char"/>
    <w:uiPriority w:val="9"/>
    <w:qFormat/>
    <w:rsid w:val="006F47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6F47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6F472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6F472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6F472C"/>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6F472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F472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F472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F472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F472C"/>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6F472C"/>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6F472C"/>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6F472C"/>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6F472C"/>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6F472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F472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F472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F472C"/>
    <w:rPr>
      <w:rFonts w:eastAsiaTheme="majorEastAsia" w:cstheme="majorBidi"/>
      <w:color w:val="272727" w:themeColor="text1" w:themeTint="D8"/>
    </w:rPr>
  </w:style>
  <w:style w:type="paragraph" w:styleId="Naslov">
    <w:name w:val="Title"/>
    <w:basedOn w:val="Normal"/>
    <w:next w:val="Normal"/>
    <w:link w:val="NaslovChar"/>
    <w:uiPriority w:val="10"/>
    <w:qFormat/>
    <w:rsid w:val="006F4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F472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F472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F472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F472C"/>
    <w:pPr>
      <w:spacing w:before="160"/>
      <w:jc w:val="center"/>
    </w:pPr>
    <w:rPr>
      <w:i/>
      <w:iCs/>
      <w:color w:val="404040" w:themeColor="text1" w:themeTint="BF"/>
    </w:rPr>
  </w:style>
  <w:style w:type="character" w:customStyle="1" w:styleId="CitatChar">
    <w:name w:val="Citat Char"/>
    <w:basedOn w:val="Zadanifontodlomka"/>
    <w:link w:val="Citat"/>
    <w:uiPriority w:val="29"/>
    <w:rsid w:val="006F472C"/>
    <w:rPr>
      <w:i/>
      <w:iCs/>
      <w:color w:val="404040" w:themeColor="text1" w:themeTint="BF"/>
    </w:rPr>
  </w:style>
  <w:style w:type="paragraph" w:styleId="Odlomakpopisa">
    <w:name w:val="List Paragraph"/>
    <w:basedOn w:val="Normal"/>
    <w:uiPriority w:val="34"/>
    <w:qFormat/>
    <w:rsid w:val="006F472C"/>
    <w:pPr>
      <w:ind w:left="720"/>
      <w:contextualSpacing/>
    </w:pPr>
  </w:style>
  <w:style w:type="character" w:styleId="Jakoisticanje">
    <w:name w:val="Intense Emphasis"/>
    <w:basedOn w:val="Zadanifontodlomka"/>
    <w:uiPriority w:val="21"/>
    <w:qFormat/>
    <w:rsid w:val="006F472C"/>
    <w:rPr>
      <w:i/>
      <w:iCs/>
      <w:color w:val="2F5496" w:themeColor="accent1" w:themeShade="BF"/>
    </w:rPr>
  </w:style>
  <w:style w:type="paragraph" w:styleId="Naglaencitat">
    <w:name w:val="Intense Quote"/>
    <w:basedOn w:val="Normal"/>
    <w:next w:val="Normal"/>
    <w:link w:val="NaglaencitatChar"/>
    <w:uiPriority w:val="30"/>
    <w:qFormat/>
    <w:rsid w:val="006F4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6F472C"/>
    <w:rPr>
      <w:i/>
      <w:iCs/>
      <w:color w:val="2F5496" w:themeColor="accent1" w:themeShade="BF"/>
    </w:rPr>
  </w:style>
  <w:style w:type="character" w:styleId="Istaknutareferenca">
    <w:name w:val="Intense Reference"/>
    <w:basedOn w:val="Zadanifontodlomka"/>
    <w:uiPriority w:val="32"/>
    <w:qFormat/>
    <w:rsid w:val="006F472C"/>
    <w:rPr>
      <w:b/>
      <w:bCs/>
      <w:smallCaps/>
      <w:color w:val="2F5496" w:themeColor="accent1" w:themeShade="BF"/>
      <w:spacing w:val="5"/>
    </w:rPr>
  </w:style>
  <w:style w:type="table" w:styleId="Reetkatablice">
    <w:name w:val="Table Grid"/>
    <w:basedOn w:val="Obinatablica"/>
    <w:uiPriority w:val="39"/>
    <w:rsid w:val="006F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5398E"/>
    <w:pPr>
      <w:spacing w:after="0" w:line="240" w:lineRule="auto"/>
    </w:pPr>
    <w:rPr>
      <w:rFonts w:eastAsiaTheme="minorEastAsia"/>
      <w:sz w:val="24"/>
      <w:szCs w:val="24"/>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Grbin</dc:creator>
  <cp:keywords/>
  <dc:description/>
  <cp:lastModifiedBy>Jelena Grbin</cp:lastModifiedBy>
  <cp:revision>2</cp:revision>
  <dcterms:created xsi:type="dcterms:W3CDTF">2025-01-27T08:55:00Z</dcterms:created>
  <dcterms:modified xsi:type="dcterms:W3CDTF">2025-01-27T08:55:00Z</dcterms:modified>
</cp:coreProperties>
</file>