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3D45" w14:textId="77777777" w:rsidR="00301005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REPUBLIKA HRVATSKA</w:t>
      </w:r>
    </w:p>
    <w:p w14:paraId="313249B9" w14:textId="77777777" w:rsidR="003121C0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ZADARSKA ŽUPANIJA</w:t>
      </w:r>
    </w:p>
    <w:p w14:paraId="714306E3" w14:textId="77777777" w:rsidR="003121C0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OPĆINA SALI</w:t>
      </w:r>
    </w:p>
    <w:p w14:paraId="336C13A6" w14:textId="77777777" w:rsidR="003121C0" w:rsidRDefault="003121C0">
      <w:pPr>
        <w:spacing w:before="5"/>
        <w:ind w:left="2471" w:right="3188"/>
        <w:jc w:val="center"/>
        <w:rPr>
          <w:b/>
          <w:sz w:val="28"/>
        </w:rPr>
      </w:pPr>
    </w:p>
    <w:p w14:paraId="543A9168" w14:textId="77777777" w:rsidR="00301005" w:rsidRDefault="00301005">
      <w:pPr>
        <w:pStyle w:val="Tijeloteksta"/>
        <w:spacing w:before="3"/>
        <w:rPr>
          <w:b/>
          <w:sz w:val="28"/>
        </w:rPr>
      </w:pPr>
    </w:p>
    <w:p w14:paraId="65E93545" w14:textId="275922F9" w:rsidR="009D427F" w:rsidRPr="00E57976" w:rsidRDefault="00000000" w:rsidP="009D427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 xml:space="preserve">OBRAZLOŽENJE </w:t>
      </w:r>
      <w:r w:rsidR="0024134D">
        <w:rPr>
          <w:b/>
          <w:iCs/>
          <w:sz w:val="32"/>
          <w:szCs w:val="32"/>
        </w:rPr>
        <w:t>POLU</w:t>
      </w:r>
      <w:r w:rsidRPr="00E57976">
        <w:rPr>
          <w:b/>
          <w:iCs/>
          <w:sz w:val="32"/>
          <w:szCs w:val="32"/>
        </w:rPr>
        <w:t>GODIŠNJEG</w:t>
      </w:r>
      <w:r w:rsidR="009D427F" w:rsidRPr="00E57976">
        <w:rPr>
          <w:b/>
          <w:iCs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IZVJEŠTAJA</w:t>
      </w:r>
    </w:p>
    <w:p w14:paraId="3EAD86E3" w14:textId="77777777" w:rsidR="00301005" w:rsidRPr="00E57976" w:rsidRDefault="00000000" w:rsidP="009D427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>O</w:t>
      </w:r>
      <w:r w:rsidRPr="00E57976">
        <w:rPr>
          <w:b/>
          <w:iCs/>
          <w:spacing w:val="-11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IZVRŠENJU</w:t>
      </w:r>
      <w:r w:rsidRPr="00E57976">
        <w:rPr>
          <w:b/>
          <w:iCs/>
          <w:spacing w:val="-5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PRORAČUNA</w:t>
      </w:r>
      <w:r w:rsidR="009D427F" w:rsidRPr="00E57976">
        <w:rPr>
          <w:b/>
          <w:iCs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 xml:space="preserve">OPĆINE </w:t>
      </w:r>
      <w:r w:rsidR="003121C0" w:rsidRPr="00E57976">
        <w:rPr>
          <w:b/>
          <w:iCs/>
          <w:sz w:val="32"/>
          <w:szCs w:val="32"/>
        </w:rPr>
        <w:t>SALI</w:t>
      </w:r>
    </w:p>
    <w:p w14:paraId="221C7EBE" w14:textId="04948F3C" w:rsidR="00301005" w:rsidRPr="00E57976" w:rsidRDefault="00000000" w:rsidP="009D427F">
      <w:pPr>
        <w:pStyle w:val="Naslov"/>
        <w:ind w:left="0" w:right="0"/>
        <w:rPr>
          <w:i w:val="0"/>
          <w:sz w:val="32"/>
          <w:szCs w:val="32"/>
        </w:rPr>
      </w:pPr>
      <w:r w:rsidRPr="00E57976">
        <w:rPr>
          <w:i w:val="0"/>
          <w:sz w:val="32"/>
          <w:szCs w:val="32"/>
        </w:rPr>
        <w:t>ZA</w:t>
      </w:r>
      <w:r w:rsidRPr="00E57976">
        <w:rPr>
          <w:i w:val="0"/>
          <w:spacing w:val="-2"/>
          <w:sz w:val="32"/>
          <w:szCs w:val="32"/>
        </w:rPr>
        <w:t xml:space="preserve"> </w:t>
      </w:r>
      <w:r w:rsidRPr="00E57976">
        <w:rPr>
          <w:i w:val="0"/>
          <w:sz w:val="32"/>
          <w:szCs w:val="32"/>
        </w:rPr>
        <w:t>202</w:t>
      </w:r>
      <w:r w:rsidR="000D014E">
        <w:rPr>
          <w:i w:val="0"/>
          <w:sz w:val="32"/>
          <w:szCs w:val="32"/>
        </w:rPr>
        <w:t>4</w:t>
      </w:r>
      <w:r w:rsidRPr="00E57976">
        <w:rPr>
          <w:i w:val="0"/>
          <w:sz w:val="32"/>
          <w:szCs w:val="32"/>
        </w:rPr>
        <w:t>.</w:t>
      </w:r>
      <w:r w:rsidRPr="00E57976">
        <w:rPr>
          <w:i w:val="0"/>
          <w:spacing w:val="-2"/>
          <w:sz w:val="32"/>
          <w:szCs w:val="32"/>
        </w:rPr>
        <w:t xml:space="preserve"> GODINU</w:t>
      </w:r>
    </w:p>
    <w:p w14:paraId="3A37156B" w14:textId="77777777" w:rsidR="00301005" w:rsidRDefault="00301005">
      <w:pPr>
        <w:pStyle w:val="Tijeloteksta"/>
        <w:rPr>
          <w:b/>
          <w:sz w:val="20"/>
        </w:rPr>
      </w:pPr>
    </w:p>
    <w:p w14:paraId="6E3D6DE7" w14:textId="77777777" w:rsidR="00301005" w:rsidRDefault="00301005" w:rsidP="003121C0">
      <w:pPr>
        <w:pStyle w:val="Naslov3"/>
        <w:tabs>
          <w:tab w:val="left" w:pos="9418"/>
        </w:tabs>
        <w:ind w:left="0"/>
      </w:pPr>
    </w:p>
    <w:p w14:paraId="45AE346C" w14:textId="77777777" w:rsidR="003121C0" w:rsidRPr="00E07F26" w:rsidRDefault="003121C0" w:rsidP="00A665FC">
      <w:pPr>
        <w:pStyle w:val="Tijeloteksta"/>
        <w:ind w:right="1034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>ZAKONSKA OSNOVA</w:t>
      </w:r>
    </w:p>
    <w:p w14:paraId="471DF6AA" w14:textId="77777777" w:rsidR="003121C0" w:rsidRDefault="003121C0">
      <w:pPr>
        <w:pStyle w:val="Tijeloteksta"/>
        <w:ind w:left="318" w:right="1034"/>
        <w:jc w:val="both"/>
      </w:pPr>
    </w:p>
    <w:p w14:paraId="638CB305" w14:textId="2726AB5F" w:rsidR="00301005" w:rsidRDefault="00000000" w:rsidP="00D80A8D">
      <w:pPr>
        <w:pStyle w:val="Tijeloteksta"/>
        <w:jc w:val="both"/>
      </w:pPr>
      <w:r>
        <w:t>Zakonom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>
        <w:t>(Narodne</w:t>
      </w:r>
      <w:r>
        <w:rPr>
          <w:spacing w:val="-5"/>
        </w:rPr>
        <w:t xml:space="preserve"> </w:t>
      </w:r>
      <w:r>
        <w:t>novine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 w:rsidR="003121C0">
        <w:t>144/21</w:t>
      </w:r>
      <w:r>
        <w:t>)</w:t>
      </w:r>
      <w:r>
        <w:rPr>
          <w:spacing w:val="-3"/>
        </w:rPr>
        <w:t xml:space="preserve"> </w:t>
      </w:r>
      <w:r>
        <w:t>propisana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</w:t>
      </w:r>
      <w:r>
        <w:rPr>
          <w:spacing w:val="-4"/>
        </w:rPr>
        <w:t xml:space="preserve"> </w:t>
      </w:r>
      <w:r>
        <w:t>izrade i</w:t>
      </w:r>
      <w:r w:rsidR="00AD0FF5">
        <w:rPr>
          <w:spacing w:val="-10"/>
        </w:rPr>
        <w:t xml:space="preserve"> </w:t>
      </w:r>
      <w:r>
        <w:t>podnošenja</w:t>
      </w:r>
      <w:r>
        <w:rPr>
          <w:spacing w:val="-8"/>
        </w:rPr>
        <w:t xml:space="preserve"> </w:t>
      </w:r>
      <w:r w:rsidR="0024134D">
        <w:t>Polug</w:t>
      </w:r>
      <w:r>
        <w:t>odišnjeg</w:t>
      </w:r>
      <w:r>
        <w:rPr>
          <w:spacing w:val="-7"/>
        </w:rPr>
        <w:t xml:space="preserve"> </w:t>
      </w:r>
      <w:r>
        <w:t>izvještaja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predstavničkom</w:t>
      </w:r>
      <w:r>
        <w:rPr>
          <w:spacing w:val="-7"/>
        </w:rPr>
        <w:t xml:space="preserve"> </w:t>
      </w:r>
      <w:r>
        <w:t>tijelu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donošenje</w:t>
      </w:r>
      <w:r>
        <w:rPr>
          <w:spacing w:val="-8"/>
        </w:rPr>
        <w:t xml:space="preserve"> </w:t>
      </w:r>
      <w:r>
        <w:rPr>
          <w:spacing w:val="-5"/>
        </w:rPr>
        <w:t>do</w:t>
      </w:r>
      <w:r w:rsidR="00AD0FF5">
        <w:t xml:space="preserve"> </w:t>
      </w:r>
      <w:r w:rsidR="00DD5F35">
        <w:t>3</w:t>
      </w:r>
      <w:r w:rsidR="0024134D">
        <w:t>0</w:t>
      </w:r>
      <w:r w:rsidR="00DD5F35">
        <w:t xml:space="preserve">. </w:t>
      </w:r>
      <w:r w:rsidR="0024134D">
        <w:t>rujna</w:t>
      </w:r>
      <w:r>
        <w:rPr>
          <w:spacing w:val="-1"/>
        </w:rPr>
        <w:t xml:space="preserve"> </w:t>
      </w:r>
      <w:r>
        <w:t>tekuće</w:t>
      </w:r>
      <w:r>
        <w:rPr>
          <w:spacing w:val="-1"/>
        </w:rPr>
        <w:t xml:space="preserve"> </w:t>
      </w:r>
      <w:r w:rsidR="0024134D">
        <w:rPr>
          <w:spacing w:val="-1"/>
        </w:rPr>
        <w:t xml:space="preserve">proračunske </w:t>
      </w:r>
      <w:r>
        <w:rPr>
          <w:spacing w:val="-2"/>
        </w:rPr>
        <w:t>godine</w:t>
      </w:r>
      <w:r w:rsidR="00DD5F35">
        <w:rPr>
          <w:spacing w:val="-2"/>
        </w:rPr>
        <w:t>.</w:t>
      </w:r>
    </w:p>
    <w:p w14:paraId="27BCA9CC" w14:textId="77777777" w:rsidR="00301005" w:rsidRDefault="00301005" w:rsidP="00D80A8D">
      <w:pPr>
        <w:pStyle w:val="Tijeloteksta"/>
        <w:jc w:val="both"/>
      </w:pPr>
    </w:p>
    <w:p w14:paraId="0BCACEEE" w14:textId="0DE107F3" w:rsidR="00DD5F35" w:rsidRDefault="0024134D" w:rsidP="00D80A8D">
      <w:pPr>
        <w:pStyle w:val="Tijeloteksta"/>
        <w:jc w:val="both"/>
      </w:pPr>
      <w:r>
        <w:t xml:space="preserve">Temeljem članka 76. stavak 1. </w:t>
      </w:r>
      <w:r w:rsidR="00DD5F35">
        <w:t>Zakon</w:t>
      </w:r>
      <w:r>
        <w:t>a</w:t>
      </w:r>
      <w:r w:rsidR="00DD5F35">
        <w:t xml:space="preserve"> o proračunu</w:t>
      </w:r>
      <w:r w:rsidR="000A554A">
        <w:t xml:space="preserve"> i članka 4. Pravilnika o polugodišnjem i godišnjem izvještaju o izvršenju proračuna i financijskog plana (Narodne novine broj 85/23)</w:t>
      </w:r>
      <w:r w:rsidR="00DD5F35">
        <w:t xml:space="preserve"> </w:t>
      </w:r>
      <w:r w:rsidR="000A554A">
        <w:t xml:space="preserve">(dalje: Pravilnik) </w:t>
      </w:r>
      <w:r w:rsidR="00DD5F35">
        <w:t>p</w:t>
      </w:r>
      <w:r>
        <w:t>olu</w:t>
      </w:r>
      <w:r w:rsidR="00DD5F35">
        <w:t>godišnj</w:t>
      </w:r>
      <w:r>
        <w:t>i</w:t>
      </w:r>
      <w:r w:rsidR="00DD5F35">
        <w:t xml:space="preserve"> izvještaj o izvršenju proračuna </w:t>
      </w:r>
      <w:r>
        <w:t>sadrži opći i posebni dio, obrazloženje i posebne izvještaje.</w:t>
      </w:r>
    </w:p>
    <w:p w14:paraId="470DE403" w14:textId="77777777" w:rsidR="000A554A" w:rsidRDefault="000A554A" w:rsidP="00D80A8D">
      <w:pPr>
        <w:pStyle w:val="Tijeloteksta"/>
        <w:jc w:val="both"/>
      </w:pPr>
    </w:p>
    <w:p w14:paraId="5735D79E" w14:textId="6B46F167" w:rsidR="00DD5F35" w:rsidRPr="00DD5F35" w:rsidRDefault="00DD5F35" w:rsidP="00D80A8D">
      <w:pPr>
        <w:pStyle w:val="Tijeloteksta"/>
        <w:jc w:val="both"/>
      </w:pPr>
      <w:r w:rsidRPr="00DD5F35">
        <w:t xml:space="preserve">Opći dio </w:t>
      </w:r>
      <w:r w:rsidR="000A554A">
        <w:t>polugodišnjeg</w:t>
      </w:r>
      <w:r w:rsidRPr="00DD5F35">
        <w:t xml:space="preserve"> izvještaja o izvršenju proračuna sadrži:</w:t>
      </w:r>
    </w:p>
    <w:p w14:paraId="479DB305" w14:textId="1D9D0F51" w:rsidR="00DD5F35" w:rsidRPr="00DD5F35" w:rsidRDefault="00580D98" w:rsidP="00D80A8D">
      <w:pPr>
        <w:pStyle w:val="Tijeloteksta"/>
        <w:numPr>
          <w:ilvl w:val="0"/>
          <w:numId w:val="26"/>
        </w:numPr>
        <w:jc w:val="both"/>
      </w:pPr>
      <w:r>
        <w:t>s</w:t>
      </w:r>
      <w:r w:rsidR="00DD5F35" w:rsidRPr="00DD5F35">
        <w:t>ažetak Računa prihoda i rashoda i Računa financiranja</w:t>
      </w:r>
    </w:p>
    <w:p w14:paraId="533D6100" w14:textId="43D5A741" w:rsidR="000A554A" w:rsidRDefault="00DD5F35" w:rsidP="00D80A8D">
      <w:pPr>
        <w:pStyle w:val="Tijeloteksta"/>
        <w:numPr>
          <w:ilvl w:val="0"/>
          <w:numId w:val="26"/>
        </w:numPr>
        <w:jc w:val="both"/>
      </w:pPr>
      <w:r w:rsidRPr="00DD5F35">
        <w:t xml:space="preserve">Račun prihoda i rashoda </w:t>
      </w:r>
    </w:p>
    <w:p w14:paraId="07E9B2DE" w14:textId="767E4931" w:rsidR="00DD5F35" w:rsidRDefault="00DD5F35" w:rsidP="00D80A8D">
      <w:pPr>
        <w:pStyle w:val="Tijeloteksta"/>
        <w:numPr>
          <w:ilvl w:val="0"/>
          <w:numId w:val="26"/>
        </w:numPr>
        <w:jc w:val="both"/>
      </w:pPr>
      <w:r w:rsidRPr="00DD5F35">
        <w:t>Račun financiranja</w:t>
      </w:r>
    </w:p>
    <w:p w14:paraId="7189EA9F" w14:textId="77777777" w:rsidR="000A554A" w:rsidRPr="00DD5F35" w:rsidRDefault="000A554A" w:rsidP="00D80A8D">
      <w:pPr>
        <w:pStyle w:val="Tijeloteksta"/>
        <w:jc w:val="both"/>
      </w:pPr>
    </w:p>
    <w:p w14:paraId="2B7F9F47" w14:textId="613BC5FD" w:rsidR="00DD5F35" w:rsidRPr="00DD5F35" w:rsidRDefault="00DD5F35" w:rsidP="00580D98">
      <w:pPr>
        <w:pStyle w:val="StandardWeb"/>
        <w:spacing w:before="0" w:beforeAutospacing="0" w:after="135" w:afterAutospacing="0"/>
        <w:jc w:val="both"/>
      </w:pPr>
      <w:r w:rsidRPr="00DD5F35">
        <w:t xml:space="preserve">Račun prihoda i rashoda iz stavka 1. ovoga članka sastoji se od prihoda i rashoda iskazanih prema  ekonomskoj klasifikaciji </w:t>
      </w:r>
      <w:r w:rsidR="000A554A">
        <w:t xml:space="preserve">i </w:t>
      </w:r>
      <w:r w:rsidR="000A554A" w:rsidRPr="00DD5F35">
        <w:t xml:space="preserve">izvorima financiranja </w:t>
      </w:r>
      <w:r w:rsidRPr="00DD5F35">
        <w:t>te rashoda iskazanih prema funkcijskoj klasifikaciji.</w:t>
      </w:r>
    </w:p>
    <w:p w14:paraId="5A0E3C36" w14:textId="77777777" w:rsidR="00DD5F35" w:rsidRPr="00DD5F35" w:rsidRDefault="00DD5F35" w:rsidP="00580D98">
      <w:pPr>
        <w:pStyle w:val="StandardWeb"/>
        <w:spacing w:before="0" w:beforeAutospacing="0" w:after="135" w:afterAutospacing="0"/>
        <w:jc w:val="both"/>
      </w:pPr>
      <w:r w:rsidRPr="00DD5F35">
        <w:t>U Računu financiranja iskazuju se primici od financijske imovine i zaduživanja te izdaci za financijsku imovinu i otplate instrumenata zaduživanja prema izvorima financiranja i ekonomskoj klasifikaciji.</w:t>
      </w:r>
    </w:p>
    <w:p w14:paraId="6F28C027" w14:textId="475500A0" w:rsidR="00DD5F35" w:rsidRPr="00DD5F35" w:rsidRDefault="00DD5F35" w:rsidP="00580D98">
      <w:pPr>
        <w:pStyle w:val="StandardWeb"/>
        <w:spacing w:before="0" w:beforeAutospacing="0" w:after="135" w:afterAutospacing="0"/>
        <w:jc w:val="both"/>
      </w:pPr>
      <w:r w:rsidRPr="00DD5F35">
        <w:t xml:space="preserve">Opći dio </w:t>
      </w:r>
      <w:r w:rsidR="000A554A">
        <w:t>polu</w:t>
      </w:r>
      <w:r w:rsidRPr="00DD5F35">
        <w:t>godišnjeg izvještaja o izvršenju proračuna jedinice lokalne i područne (regionalne) samouprave može sadržavati i preneseni višak ili preneseni manjak prihoda nad rashodima.</w:t>
      </w:r>
    </w:p>
    <w:p w14:paraId="09607E86" w14:textId="340FCDA8" w:rsidR="00DD5F35" w:rsidRPr="009D427F" w:rsidRDefault="009D427F" w:rsidP="00580D98">
      <w:pPr>
        <w:pStyle w:val="Tijeloteksta"/>
        <w:spacing w:before="3"/>
        <w:jc w:val="both"/>
      </w:pPr>
      <w:r w:rsidRPr="009D427F">
        <w:t xml:space="preserve">Posebni dio </w:t>
      </w:r>
      <w:r w:rsidR="000A554A">
        <w:t>polu</w:t>
      </w:r>
      <w:r w:rsidRPr="009D427F">
        <w:t>godišnjeg izvještaja o izvršenju proračuna sadrži izvršenje rashoda i izdataka  proračuna jedinice lokalne i područne (regionalne) samouprave i njihovih proračunskih korisnika iskazanih po organizacijskoj klasifikaciji, izvorima financiranja i ekonomskoj klasifikaciji, raspoređenih u programe koji se sastoje od aktivnosti i projekata.</w:t>
      </w:r>
    </w:p>
    <w:p w14:paraId="55E292F3" w14:textId="77777777" w:rsidR="00DD5F35" w:rsidRPr="009D427F" w:rsidRDefault="00DD5F35" w:rsidP="00580D98">
      <w:pPr>
        <w:pStyle w:val="Tijeloteksta"/>
        <w:spacing w:before="3"/>
        <w:jc w:val="both"/>
      </w:pPr>
    </w:p>
    <w:p w14:paraId="1802BDF3" w14:textId="5B4B3B70" w:rsidR="000A554A" w:rsidRDefault="000A554A" w:rsidP="00580D98">
      <w:pPr>
        <w:pStyle w:val="StandardWeb"/>
        <w:spacing w:before="0" w:beforeAutospacing="0" w:after="0" w:afterAutospacing="0"/>
        <w:jc w:val="both"/>
      </w:pPr>
      <w:r>
        <w:t xml:space="preserve">Članak 17. stavak 1. Pravilnika propisuje da obrazloženje polugodišnjeg </w:t>
      </w:r>
      <w:r w:rsidR="00A26213">
        <w:t>izvještaja o izvršenju proračuna sadrži obrazloženje općeg dijela izvještaja o izvršenju proračuna.</w:t>
      </w:r>
    </w:p>
    <w:p w14:paraId="1B8DD751" w14:textId="77777777" w:rsidR="00A26213" w:rsidRDefault="00A26213" w:rsidP="00580D98">
      <w:pPr>
        <w:pStyle w:val="StandardWeb"/>
        <w:spacing w:before="0" w:beforeAutospacing="0" w:after="0" w:afterAutospacing="0"/>
        <w:jc w:val="both"/>
      </w:pPr>
    </w:p>
    <w:p w14:paraId="702C5DEC" w14:textId="5D516E56" w:rsidR="009D427F" w:rsidRPr="00CC5B80" w:rsidRDefault="009D427F" w:rsidP="00580D98">
      <w:pPr>
        <w:pStyle w:val="StandardWeb"/>
        <w:spacing w:before="0" w:beforeAutospacing="0" w:after="0" w:afterAutospacing="0"/>
        <w:jc w:val="both"/>
      </w:pPr>
      <w:r w:rsidRPr="00CC5B80">
        <w:t>Obrazloženje općeg dijela izvještaja o izvršenju proračuna jedinica lokalne i područne (regionalne) samouprave sadrži:</w:t>
      </w:r>
    </w:p>
    <w:p w14:paraId="711C2B48" w14:textId="4AF9BE35" w:rsidR="009D427F" w:rsidRPr="00CC5B80" w:rsidRDefault="009D427F" w:rsidP="00580D98">
      <w:pPr>
        <w:pStyle w:val="StandardWeb"/>
        <w:spacing w:before="0" w:beforeAutospacing="0" w:after="0" w:afterAutospacing="0"/>
        <w:jc w:val="both"/>
      </w:pPr>
      <w:r w:rsidRPr="00CC5B80">
        <w:t>– obrazloženje ostvarenja prihoda i rashoda, primitaka i izdataka</w:t>
      </w:r>
      <w:r w:rsidR="00A26213">
        <w:t xml:space="preserve"> u izvještajnom razdoblju</w:t>
      </w:r>
    </w:p>
    <w:p w14:paraId="60B54F6F" w14:textId="202F1F60" w:rsidR="009D427F" w:rsidRPr="00CC5B80" w:rsidRDefault="009D427F" w:rsidP="00580D98">
      <w:pPr>
        <w:pStyle w:val="StandardWeb"/>
        <w:spacing w:before="0" w:beforeAutospacing="0" w:after="0" w:afterAutospacing="0"/>
        <w:jc w:val="both"/>
      </w:pPr>
      <w:r w:rsidRPr="00CC5B80">
        <w:lastRenderedPageBreak/>
        <w:t xml:space="preserve">– prikaz </w:t>
      </w:r>
      <w:r w:rsidR="00A26213">
        <w:t xml:space="preserve">ostvarenog </w:t>
      </w:r>
      <w:r w:rsidRPr="00CC5B80">
        <w:t>manjka odnosno viška proračuna jedinice lokalne i područne (regionalne) samouprave.</w:t>
      </w:r>
    </w:p>
    <w:p w14:paraId="41A9ABD6" w14:textId="77777777" w:rsidR="00A26213" w:rsidRDefault="00A26213" w:rsidP="00580D98">
      <w:pPr>
        <w:pStyle w:val="Tijeloteksta"/>
        <w:ind w:right="1033"/>
        <w:jc w:val="both"/>
      </w:pPr>
    </w:p>
    <w:p w14:paraId="6294D2E9" w14:textId="4BED3E4F" w:rsidR="00301005" w:rsidRPr="00D80A8D" w:rsidRDefault="00A26213" w:rsidP="00D80A8D">
      <w:pPr>
        <w:pStyle w:val="Tijeloteksta"/>
      </w:pPr>
      <w:r>
        <w:t xml:space="preserve">Polugodišnji izvještaj o izvršenju proračuna Općine </w:t>
      </w:r>
      <w:r w:rsidR="00AD0FF5">
        <w:t>Sali</w:t>
      </w:r>
      <w:r>
        <w:t xml:space="preserve"> za 202</w:t>
      </w:r>
      <w:r w:rsidR="004E049F">
        <w:t>4</w:t>
      </w:r>
      <w:r>
        <w:t xml:space="preserve">. godinu objavit će se na internetskim stranicama Općine </w:t>
      </w:r>
      <w:r w:rsidR="00AD0FF5">
        <w:t>Sali</w:t>
      </w:r>
      <w:r>
        <w:t xml:space="preserve"> (www.opcina-</w:t>
      </w:r>
      <w:r w:rsidR="00AD0FF5">
        <w:t>sali</w:t>
      </w:r>
      <w:r>
        <w:t xml:space="preserve">.hr) i u Službenom glasniku Općine </w:t>
      </w:r>
      <w:r w:rsidR="00AD0FF5">
        <w:rPr>
          <w:spacing w:val="-2"/>
        </w:rPr>
        <w:t>Sali</w:t>
      </w:r>
      <w:r>
        <w:rPr>
          <w:spacing w:val="-2"/>
        </w:rPr>
        <w:t>.</w:t>
      </w:r>
    </w:p>
    <w:p w14:paraId="026C2DF5" w14:textId="77777777" w:rsidR="00D3334F" w:rsidRDefault="00D3334F" w:rsidP="00D80A8D">
      <w:pPr>
        <w:pStyle w:val="Tijeloteksta"/>
        <w:ind w:right="1033"/>
        <w:jc w:val="both"/>
        <w:rPr>
          <w:spacing w:val="-2"/>
        </w:rPr>
      </w:pPr>
    </w:p>
    <w:p w14:paraId="0B2BC668" w14:textId="77777777" w:rsidR="00E57976" w:rsidRDefault="00E57976" w:rsidP="00580D98">
      <w:pPr>
        <w:pStyle w:val="Tijeloteksta"/>
        <w:spacing w:before="3"/>
        <w:ind w:right="970"/>
        <w:jc w:val="both"/>
        <w:rPr>
          <w:b/>
          <w:bCs/>
        </w:rPr>
      </w:pPr>
    </w:p>
    <w:p w14:paraId="29673251" w14:textId="77777777" w:rsidR="00C8298A" w:rsidRPr="00E07F26" w:rsidRDefault="00C8298A" w:rsidP="00580D98">
      <w:pPr>
        <w:pStyle w:val="Tijeloteksta"/>
        <w:spacing w:before="3"/>
        <w:ind w:right="970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 xml:space="preserve">OBRAZLOŽENJE OPĆEG DIJELA </w:t>
      </w:r>
    </w:p>
    <w:p w14:paraId="7702102D" w14:textId="77777777" w:rsidR="00FC2301" w:rsidRDefault="00FC2301" w:rsidP="00580D98">
      <w:pPr>
        <w:pStyle w:val="Tijeloteksta"/>
        <w:spacing w:before="3"/>
        <w:ind w:right="970"/>
        <w:jc w:val="both"/>
      </w:pPr>
    </w:p>
    <w:p w14:paraId="2533793C" w14:textId="554C52C5" w:rsidR="00D3334F" w:rsidRPr="00A26213" w:rsidRDefault="00D3334F" w:rsidP="00D80A8D">
      <w:pPr>
        <w:pStyle w:val="Tijeloteksta"/>
        <w:jc w:val="both"/>
      </w:pPr>
      <w:r w:rsidRPr="00A26213">
        <w:t xml:space="preserve">Proračun Općine </w:t>
      </w:r>
      <w:r w:rsidR="00C8298A" w:rsidRPr="00A26213">
        <w:t>Sali</w:t>
      </w:r>
      <w:r w:rsidRPr="00A26213">
        <w:t xml:space="preserve"> za 202</w:t>
      </w:r>
      <w:r w:rsidR="004E049F">
        <w:t>4</w:t>
      </w:r>
      <w:r w:rsidRPr="00A26213">
        <w:t xml:space="preserve">. godinu, </w:t>
      </w:r>
      <w:r w:rsidR="00C8298A" w:rsidRPr="00A26213">
        <w:t>sa</w:t>
      </w:r>
      <w:r w:rsidRPr="00A26213">
        <w:t xml:space="preserve"> projekcij</w:t>
      </w:r>
      <w:r w:rsidR="00FC2301" w:rsidRPr="00A26213">
        <w:t>ama</w:t>
      </w:r>
      <w:r w:rsidRPr="00A26213">
        <w:t xml:space="preserve"> za 202</w:t>
      </w:r>
      <w:r w:rsidR="004E049F">
        <w:t>5</w:t>
      </w:r>
      <w:r w:rsidRPr="00A26213">
        <w:t>. i 202</w:t>
      </w:r>
      <w:r w:rsidR="004E049F">
        <w:t>6</w:t>
      </w:r>
      <w:r w:rsidRPr="00A26213">
        <w:t xml:space="preserve">. godinu usvojen je na </w:t>
      </w:r>
      <w:r w:rsidR="004E049F">
        <w:t>14</w:t>
      </w:r>
      <w:r w:rsidRPr="00A26213">
        <w:t xml:space="preserve">. sjednici Općinskog vijeća održanoj dana </w:t>
      </w:r>
      <w:r w:rsidR="004E049F">
        <w:t>21</w:t>
      </w:r>
      <w:r w:rsidRPr="00A26213">
        <w:t xml:space="preserve">. </w:t>
      </w:r>
      <w:r w:rsidR="00FC2301" w:rsidRPr="00A26213">
        <w:t>prosinca</w:t>
      </w:r>
      <w:r w:rsidRPr="00A26213">
        <w:t xml:space="preserve"> 202</w:t>
      </w:r>
      <w:r w:rsidR="004E049F">
        <w:t>3</w:t>
      </w:r>
      <w:r w:rsidRPr="00A26213">
        <w:t xml:space="preserve">. godine u iznosu od </w:t>
      </w:r>
      <w:r w:rsidR="004E049F">
        <w:t>7.223.400,00</w:t>
      </w:r>
      <w:r w:rsidR="00777820">
        <w:t xml:space="preserve"> eura</w:t>
      </w:r>
      <w:r w:rsidRPr="00A26213">
        <w:t>.</w:t>
      </w:r>
    </w:p>
    <w:p w14:paraId="42BEBDCD" w14:textId="77777777" w:rsidR="00FC2301" w:rsidRPr="00A26213" w:rsidRDefault="00FC2301" w:rsidP="00D80A8D">
      <w:pPr>
        <w:pStyle w:val="Tijeloteksta"/>
        <w:jc w:val="both"/>
      </w:pPr>
    </w:p>
    <w:p w14:paraId="75198AA2" w14:textId="44CED868" w:rsidR="00FC2301" w:rsidRPr="00A26213" w:rsidRDefault="00777820" w:rsidP="00D80A8D">
      <w:pPr>
        <w:pStyle w:val="Tijeloteksta"/>
        <w:jc w:val="both"/>
      </w:pPr>
      <w:r>
        <w:t>Polugodišnje i</w:t>
      </w:r>
      <w:r w:rsidR="00FC2301" w:rsidRPr="00A26213">
        <w:t>zvršenje Proračuna Općine Sali za 202</w:t>
      </w:r>
      <w:r w:rsidR="004E049F">
        <w:t>4</w:t>
      </w:r>
      <w:r w:rsidR="00FC2301" w:rsidRPr="00A26213">
        <w:t>. godinu realizirano je kako slijedi:</w:t>
      </w:r>
    </w:p>
    <w:p w14:paraId="6FE861B5" w14:textId="77777777" w:rsidR="00FC2301" w:rsidRPr="00A26213" w:rsidRDefault="00FC2301" w:rsidP="00D80A8D">
      <w:pPr>
        <w:pStyle w:val="Tijeloteksta"/>
        <w:jc w:val="both"/>
      </w:pPr>
      <w:r w:rsidRPr="00A26213">
        <w:tab/>
      </w:r>
    </w:p>
    <w:p w14:paraId="40F95C82" w14:textId="799469B8" w:rsidR="00D3334F" w:rsidRPr="00A26213" w:rsidRDefault="00D3334F" w:rsidP="00D80A8D">
      <w:pPr>
        <w:pStyle w:val="Tijeloteksta"/>
        <w:numPr>
          <w:ilvl w:val="0"/>
          <w:numId w:val="28"/>
        </w:numPr>
        <w:ind w:left="360"/>
        <w:jc w:val="both"/>
      </w:pPr>
      <w:r w:rsidRPr="00A26213">
        <w:t>Ostvarenje</w:t>
      </w:r>
      <w:r w:rsidRPr="00A26213">
        <w:rPr>
          <w:spacing w:val="-13"/>
        </w:rPr>
        <w:t xml:space="preserve"> </w:t>
      </w:r>
      <w:r w:rsidRPr="00A26213">
        <w:t>tekućih</w:t>
      </w:r>
      <w:r w:rsidRPr="00A26213">
        <w:rPr>
          <w:spacing w:val="-12"/>
        </w:rPr>
        <w:t xml:space="preserve"> </w:t>
      </w:r>
      <w:r w:rsidRPr="00A26213">
        <w:t>prihoda</w:t>
      </w:r>
      <w:r w:rsidRPr="00A26213">
        <w:rPr>
          <w:spacing w:val="-13"/>
        </w:rPr>
        <w:t xml:space="preserve"> </w:t>
      </w:r>
      <w:r w:rsidRPr="00A26213">
        <w:t>poslovanja</w:t>
      </w:r>
      <w:r w:rsidRPr="00A26213">
        <w:rPr>
          <w:spacing w:val="-13"/>
        </w:rPr>
        <w:t xml:space="preserve"> </w:t>
      </w:r>
      <w:r w:rsidRPr="00A26213">
        <w:t>i</w:t>
      </w:r>
      <w:r w:rsidRPr="00A26213">
        <w:rPr>
          <w:spacing w:val="-12"/>
        </w:rPr>
        <w:t xml:space="preserve"> </w:t>
      </w:r>
      <w:r w:rsidRPr="00A26213">
        <w:t>prihoda</w:t>
      </w:r>
      <w:r w:rsidRPr="00A26213">
        <w:rPr>
          <w:spacing w:val="-13"/>
        </w:rPr>
        <w:t xml:space="preserve"> </w:t>
      </w:r>
      <w:r w:rsidRPr="00A26213">
        <w:t>od</w:t>
      </w:r>
      <w:r w:rsidRPr="00A26213">
        <w:rPr>
          <w:spacing w:val="-12"/>
        </w:rPr>
        <w:t xml:space="preserve"> </w:t>
      </w:r>
      <w:r w:rsidRPr="00A26213">
        <w:t>prodaje</w:t>
      </w:r>
      <w:r w:rsidRPr="00A26213">
        <w:rPr>
          <w:spacing w:val="-12"/>
        </w:rPr>
        <w:t xml:space="preserve"> </w:t>
      </w:r>
      <w:r w:rsidRPr="00A26213">
        <w:t>nefinancijske</w:t>
      </w:r>
      <w:r w:rsidRPr="00A26213">
        <w:rPr>
          <w:spacing w:val="-13"/>
        </w:rPr>
        <w:t xml:space="preserve"> </w:t>
      </w:r>
      <w:r w:rsidRPr="00A26213">
        <w:t>imovine</w:t>
      </w:r>
      <w:r w:rsidRPr="00A26213">
        <w:rPr>
          <w:spacing w:val="-13"/>
        </w:rPr>
        <w:t xml:space="preserve"> </w:t>
      </w:r>
      <w:r w:rsidRPr="00A26213">
        <w:t xml:space="preserve">iznosi </w:t>
      </w:r>
      <w:r w:rsidR="004E049F">
        <w:t>1.225.746,17</w:t>
      </w:r>
      <w:r w:rsidR="00534554">
        <w:t xml:space="preserve"> eura</w:t>
      </w:r>
      <w:r w:rsidRPr="00A26213">
        <w:t>, a realizacija tekućih rashoda i rashoda za nabavu nefinancijske imovine</w:t>
      </w:r>
      <w:r w:rsidRPr="00A26213">
        <w:rPr>
          <w:spacing w:val="-6"/>
        </w:rPr>
        <w:t xml:space="preserve"> </w:t>
      </w:r>
      <w:r w:rsidRPr="00A26213">
        <w:t>iznos</w:t>
      </w:r>
      <w:r w:rsidR="00534554">
        <w:t>i</w:t>
      </w:r>
      <w:r w:rsidRPr="00A26213">
        <w:rPr>
          <w:spacing w:val="-7"/>
        </w:rPr>
        <w:t xml:space="preserve"> </w:t>
      </w:r>
      <w:r w:rsidR="004E049F">
        <w:t xml:space="preserve">932.381,19 </w:t>
      </w:r>
      <w:r w:rsidR="00580D98">
        <w:t>eura</w:t>
      </w:r>
      <w:r w:rsidRPr="00A26213">
        <w:rPr>
          <w:spacing w:val="-7"/>
        </w:rPr>
        <w:t xml:space="preserve"> </w:t>
      </w:r>
      <w:r w:rsidRPr="00A26213">
        <w:t>što</w:t>
      </w:r>
      <w:r w:rsidRPr="00A26213">
        <w:rPr>
          <w:spacing w:val="-5"/>
        </w:rPr>
        <w:t xml:space="preserve"> </w:t>
      </w:r>
      <w:r w:rsidRPr="00A26213">
        <w:t>rezultira</w:t>
      </w:r>
      <w:r w:rsidRPr="00A26213">
        <w:rPr>
          <w:spacing w:val="-6"/>
        </w:rPr>
        <w:t xml:space="preserve"> </w:t>
      </w:r>
      <w:r w:rsidR="004E049F">
        <w:t>viškom</w:t>
      </w:r>
      <w:r w:rsidRPr="00A26213">
        <w:rPr>
          <w:spacing w:val="-5"/>
        </w:rPr>
        <w:t xml:space="preserve"> </w:t>
      </w:r>
      <w:r w:rsidRPr="00A26213">
        <w:t>prihoda</w:t>
      </w:r>
      <w:r w:rsidRPr="00A26213">
        <w:rPr>
          <w:spacing w:val="-7"/>
        </w:rPr>
        <w:t xml:space="preserve"> </w:t>
      </w:r>
      <w:r w:rsidRPr="00A26213">
        <w:t>u</w:t>
      </w:r>
      <w:r w:rsidRPr="00A26213">
        <w:rPr>
          <w:spacing w:val="-6"/>
        </w:rPr>
        <w:t xml:space="preserve"> </w:t>
      </w:r>
      <w:r w:rsidRPr="00A26213">
        <w:t>iznosu</w:t>
      </w:r>
      <w:r w:rsidRPr="00A26213">
        <w:rPr>
          <w:spacing w:val="-8"/>
        </w:rPr>
        <w:t xml:space="preserve"> </w:t>
      </w:r>
      <w:r w:rsidRPr="00A26213">
        <w:t>od</w:t>
      </w:r>
      <w:r w:rsidRPr="00A26213">
        <w:rPr>
          <w:spacing w:val="-5"/>
        </w:rPr>
        <w:t xml:space="preserve"> </w:t>
      </w:r>
      <w:r w:rsidR="004E049F">
        <w:t>293.364,98</w:t>
      </w:r>
      <w:r w:rsidR="00534554">
        <w:t xml:space="preserve"> eura.</w:t>
      </w:r>
      <w:r w:rsidRPr="00A26213">
        <w:rPr>
          <w:spacing w:val="-2"/>
        </w:rPr>
        <w:t>.</w:t>
      </w:r>
    </w:p>
    <w:p w14:paraId="395EB587" w14:textId="77777777" w:rsidR="00FC2301" w:rsidRPr="00A26213" w:rsidRDefault="00FC2301" w:rsidP="00D80A8D">
      <w:pPr>
        <w:pStyle w:val="Tijeloteksta"/>
        <w:jc w:val="both"/>
      </w:pPr>
    </w:p>
    <w:p w14:paraId="0166CEC5" w14:textId="037A56E2" w:rsidR="003F5C40" w:rsidRPr="00A26213" w:rsidRDefault="00D3334F" w:rsidP="00D80A8D">
      <w:pPr>
        <w:pStyle w:val="Tijeloteksta"/>
        <w:numPr>
          <w:ilvl w:val="0"/>
          <w:numId w:val="28"/>
        </w:numPr>
        <w:ind w:left="360"/>
        <w:jc w:val="both"/>
      </w:pPr>
      <w:r w:rsidRPr="00A26213">
        <w:t>U izvještajnom razdoblju</w:t>
      </w:r>
      <w:r w:rsidR="003F5C40" w:rsidRPr="00A26213">
        <w:t xml:space="preserve"> primitaka od financijske imovine nije bilo a</w:t>
      </w:r>
      <w:r w:rsidRPr="00A26213">
        <w:t xml:space="preserve"> izdaci za financijsku imovinu iznosili su </w:t>
      </w:r>
      <w:r w:rsidR="004E049F">
        <w:t>74.885,52</w:t>
      </w:r>
      <w:r w:rsidR="00534554">
        <w:t xml:space="preserve"> eura</w:t>
      </w:r>
      <w:r w:rsidRPr="00A26213">
        <w:t xml:space="preserve">. </w:t>
      </w:r>
    </w:p>
    <w:p w14:paraId="6016FD0F" w14:textId="103D0360" w:rsidR="003F5C40" w:rsidRDefault="00D3334F" w:rsidP="00D80A8D">
      <w:pPr>
        <w:pStyle w:val="Tijeloteksta"/>
        <w:ind w:left="360"/>
        <w:jc w:val="both"/>
      </w:pPr>
      <w:r w:rsidRPr="00A26213">
        <w:t xml:space="preserve">Iznos od </w:t>
      </w:r>
      <w:r w:rsidR="00534554">
        <w:t>24.885,</w:t>
      </w:r>
      <w:r w:rsidR="004E049F">
        <w:t>52</w:t>
      </w:r>
      <w:r w:rsidR="00534554">
        <w:t xml:space="preserve"> eura</w:t>
      </w:r>
      <w:r w:rsidRPr="00A26213">
        <w:t xml:space="preserve"> </w:t>
      </w:r>
      <w:r w:rsidR="005A5F8C" w:rsidRPr="00A26213">
        <w:t>utrošen</w:t>
      </w:r>
      <w:r w:rsidRPr="00A26213">
        <w:t xml:space="preserve"> </w:t>
      </w:r>
      <w:r w:rsidR="005A5F8C" w:rsidRPr="00A26213">
        <w:t>je</w:t>
      </w:r>
      <w:r w:rsidRPr="00A26213">
        <w:rPr>
          <w:spacing w:val="-1"/>
        </w:rPr>
        <w:t xml:space="preserve"> </w:t>
      </w:r>
      <w:r w:rsidR="005A5F8C" w:rsidRPr="00A26213">
        <w:t>za</w:t>
      </w:r>
      <w:r w:rsidRPr="00A26213">
        <w:rPr>
          <w:spacing w:val="-1"/>
        </w:rPr>
        <w:t xml:space="preserve"> </w:t>
      </w:r>
      <w:r w:rsidRPr="00A26213">
        <w:t>otplatu rate dugoročnog kredita</w:t>
      </w:r>
      <w:r w:rsidR="00534554">
        <w:t xml:space="preserve"> podignutog </w:t>
      </w:r>
      <w:r w:rsidR="005A5F8C" w:rsidRPr="00A26213">
        <w:t xml:space="preserve"> </w:t>
      </w:r>
      <w:r w:rsidR="003F5C40" w:rsidRPr="00A26213">
        <w:t>2017.</w:t>
      </w:r>
      <w:r w:rsidR="005A5F8C" w:rsidRPr="00A26213">
        <w:t xml:space="preserve"> </w:t>
      </w:r>
      <w:r w:rsidR="003F5C40" w:rsidRPr="00A26213">
        <w:t>godin</w:t>
      </w:r>
      <w:r w:rsidR="00534554">
        <w:t>e</w:t>
      </w:r>
      <w:r w:rsidR="003F5C40" w:rsidRPr="00A26213">
        <w:t xml:space="preserve"> za financiranje sanacije i rekonstrukcije</w:t>
      </w:r>
      <w:r w:rsidR="00534554">
        <w:t xml:space="preserve"> puta preko</w:t>
      </w:r>
      <w:r w:rsidR="003F5C40" w:rsidRPr="00A26213">
        <w:t xml:space="preserve"> porta u Salima. Kredit se isplaćuje u 8 godina u 32 tromjesečne rate.</w:t>
      </w:r>
    </w:p>
    <w:p w14:paraId="00B2AE9D" w14:textId="4D68046E" w:rsidR="004E049F" w:rsidRPr="00A26213" w:rsidRDefault="004E049F" w:rsidP="00D80A8D">
      <w:pPr>
        <w:pStyle w:val="Tijeloteksta"/>
        <w:ind w:left="360"/>
        <w:jc w:val="both"/>
      </w:pPr>
      <w:r>
        <w:t>Iznos od 50.000,00 eura utrošen je za vraćanje revolving kredita.</w:t>
      </w:r>
    </w:p>
    <w:p w14:paraId="5BD4B3D9" w14:textId="77777777" w:rsidR="00D80A8D" w:rsidRDefault="00D80A8D" w:rsidP="00D80A8D">
      <w:pPr>
        <w:pStyle w:val="Tijeloteksta"/>
        <w:jc w:val="both"/>
      </w:pPr>
    </w:p>
    <w:p w14:paraId="7A662421" w14:textId="0CF52ED6" w:rsidR="00D3334F" w:rsidRPr="00534554" w:rsidRDefault="004E049F" w:rsidP="00D80A8D">
      <w:pPr>
        <w:pStyle w:val="Tijeloteksta"/>
        <w:numPr>
          <w:ilvl w:val="0"/>
          <w:numId w:val="28"/>
        </w:numPr>
        <w:ind w:left="360"/>
        <w:jc w:val="both"/>
        <w:rPr>
          <w:sz w:val="20"/>
        </w:rPr>
      </w:pPr>
      <w:r>
        <w:t>Višak</w:t>
      </w:r>
      <w:r w:rsidR="00D74781" w:rsidRPr="00A26213">
        <w:t xml:space="preserve"> prihoda i primitaka </w:t>
      </w:r>
      <w:r w:rsidR="00534554">
        <w:t xml:space="preserve">izvještajnog razdoblja </w:t>
      </w:r>
      <w:bookmarkStart w:id="0" w:name="_Hlk174004052"/>
      <w:r>
        <w:t xml:space="preserve">upotrijebiti će se za financiranje rashoda </w:t>
      </w:r>
      <w:r w:rsidR="00534554">
        <w:t xml:space="preserve"> do kraja tekuće godine.</w:t>
      </w:r>
      <w:r w:rsidR="00D74781" w:rsidRPr="00A26213">
        <w:t xml:space="preserve"> </w:t>
      </w:r>
    </w:p>
    <w:bookmarkEnd w:id="0"/>
    <w:p w14:paraId="7E737423" w14:textId="77777777" w:rsidR="00534554" w:rsidRDefault="00534554" w:rsidP="00D80A8D">
      <w:pPr>
        <w:pStyle w:val="Tijeloteksta"/>
        <w:spacing w:before="95"/>
        <w:jc w:val="both"/>
        <w:rPr>
          <w:sz w:val="20"/>
        </w:rPr>
      </w:pPr>
    </w:p>
    <w:p w14:paraId="4E07F38B" w14:textId="77777777" w:rsidR="008A72A5" w:rsidRDefault="008A72A5" w:rsidP="00D80A8D">
      <w:pPr>
        <w:pStyle w:val="Tijeloteksta"/>
        <w:spacing w:before="95"/>
        <w:jc w:val="both"/>
        <w:rPr>
          <w:sz w:val="20"/>
        </w:rPr>
      </w:pPr>
    </w:p>
    <w:p w14:paraId="68BF695B" w14:textId="77777777" w:rsidR="008A72A5" w:rsidRPr="00A26213" w:rsidRDefault="008A72A5" w:rsidP="00580D98">
      <w:pPr>
        <w:pStyle w:val="Tijeloteksta"/>
        <w:spacing w:before="95"/>
        <w:jc w:val="both"/>
        <w:rPr>
          <w:sz w:val="20"/>
        </w:rPr>
      </w:pPr>
    </w:p>
    <w:p w14:paraId="3B84FF73" w14:textId="52A6FA2D" w:rsidR="00D3334F" w:rsidRPr="00A26213" w:rsidRDefault="00D74781" w:rsidP="00580D98">
      <w:pPr>
        <w:pStyle w:val="Tijeloteksta"/>
        <w:spacing w:before="10"/>
        <w:jc w:val="both"/>
        <w:rPr>
          <w:b/>
          <w:bCs/>
        </w:rPr>
      </w:pPr>
      <w:r w:rsidRPr="00A26213">
        <w:rPr>
          <w:b/>
          <w:bCs/>
        </w:rPr>
        <w:t xml:space="preserve">PRIHODI </w:t>
      </w:r>
      <w:r w:rsidR="006B4F3A">
        <w:rPr>
          <w:b/>
          <w:bCs/>
        </w:rPr>
        <w:t xml:space="preserve"> </w:t>
      </w:r>
    </w:p>
    <w:p w14:paraId="7848A32F" w14:textId="77777777" w:rsidR="00D74781" w:rsidRPr="00A26213" w:rsidRDefault="00D74781" w:rsidP="00580D98">
      <w:pPr>
        <w:pStyle w:val="Tijeloteksta"/>
        <w:ind w:left="318" w:right="970"/>
        <w:jc w:val="both"/>
      </w:pPr>
    </w:p>
    <w:p w14:paraId="15A93C0F" w14:textId="094FBFA4" w:rsidR="00D3334F" w:rsidRPr="00D80A8D" w:rsidRDefault="00D3334F" w:rsidP="00D80A8D">
      <w:pPr>
        <w:pStyle w:val="Tijeloteksta"/>
        <w:jc w:val="both"/>
      </w:pPr>
      <w:r w:rsidRPr="00D80A8D">
        <w:t xml:space="preserve">U </w:t>
      </w:r>
      <w:r w:rsidR="00534554" w:rsidRPr="00D80A8D">
        <w:t>razdoblju od 01.01. do 30.06. 202</w:t>
      </w:r>
      <w:r w:rsidR="004E049F">
        <w:t>4</w:t>
      </w:r>
      <w:r w:rsidRPr="00D80A8D">
        <w:t>. godin</w:t>
      </w:r>
      <w:r w:rsidR="00534554" w:rsidRPr="00D80A8D">
        <w:t>e</w:t>
      </w:r>
      <w:r w:rsidRPr="00D80A8D">
        <w:t xml:space="preserve"> Općina </w:t>
      </w:r>
      <w:r w:rsidR="00D74781" w:rsidRPr="00D80A8D">
        <w:t>Sali</w:t>
      </w:r>
      <w:r w:rsidRPr="00D80A8D">
        <w:t xml:space="preserve"> ostvarila je prihoda poslovanja u iznosu </w:t>
      </w:r>
      <w:r w:rsidR="00534554" w:rsidRPr="00D80A8D">
        <w:t xml:space="preserve">od </w:t>
      </w:r>
      <w:r w:rsidR="004E049F">
        <w:t>1.222.520,93</w:t>
      </w:r>
      <w:r w:rsidR="00381E3D" w:rsidRPr="00D80A8D">
        <w:t xml:space="preserve"> eura</w:t>
      </w:r>
      <w:r w:rsidRPr="00D80A8D">
        <w:t xml:space="preserve"> i prihoda od prodaje nefinancijske imovine u iznosu od </w:t>
      </w:r>
      <w:r w:rsidR="004E049F">
        <w:t>3.225,24</w:t>
      </w:r>
      <w:r w:rsidR="00381E3D" w:rsidRPr="00D80A8D">
        <w:t xml:space="preserve"> eura</w:t>
      </w:r>
      <w:r w:rsidRPr="00D80A8D">
        <w:t>.</w:t>
      </w:r>
    </w:p>
    <w:p w14:paraId="6BD27D20" w14:textId="77777777" w:rsidR="006B4F3A" w:rsidRPr="00D80A8D" w:rsidRDefault="006B4F3A" w:rsidP="00D80A8D">
      <w:pPr>
        <w:pStyle w:val="Tijeloteksta"/>
        <w:jc w:val="both"/>
      </w:pPr>
    </w:p>
    <w:p w14:paraId="67BFFF8A" w14:textId="77777777" w:rsidR="008A72A5" w:rsidRDefault="008A72A5" w:rsidP="00580D98">
      <w:pPr>
        <w:pStyle w:val="Tijeloteksta"/>
        <w:ind w:right="970"/>
        <w:jc w:val="both"/>
      </w:pPr>
    </w:p>
    <w:p w14:paraId="653E872D" w14:textId="06B42E9B" w:rsidR="006B4F3A" w:rsidRPr="006B4F3A" w:rsidRDefault="006B4F3A" w:rsidP="00580D98">
      <w:pPr>
        <w:pStyle w:val="Tijeloteksta"/>
        <w:ind w:right="970"/>
        <w:jc w:val="both"/>
        <w:rPr>
          <w:b/>
          <w:bCs/>
          <w:u w:val="single"/>
        </w:rPr>
      </w:pPr>
      <w:r>
        <w:rPr>
          <w:b/>
          <w:bCs/>
          <w:u w:val="single"/>
        </w:rPr>
        <w:t>Prihodi poslovanja</w:t>
      </w:r>
    </w:p>
    <w:p w14:paraId="1871DA34" w14:textId="77777777" w:rsidR="00D3334F" w:rsidRPr="00A26213" w:rsidRDefault="00D3334F" w:rsidP="00580D98">
      <w:pPr>
        <w:pStyle w:val="Tijeloteksta"/>
        <w:jc w:val="both"/>
      </w:pPr>
    </w:p>
    <w:p w14:paraId="62CCACB1" w14:textId="5FA90AD2" w:rsidR="007566AA" w:rsidRPr="00D80A8D" w:rsidRDefault="00D3334F" w:rsidP="00D80A8D">
      <w:pPr>
        <w:pStyle w:val="Tijeloteksta"/>
        <w:jc w:val="both"/>
      </w:pPr>
      <w:r w:rsidRPr="00D80A8D">
        <w:rPr>
          <w:b/>
          <w:bCs/>
          <w:i/>
          <w:iCs/>
        </w:rPr>
        <w:t>Prihodi od poreza</w:t>
      </w:r>
      <w:r w:rsidR="007566AA" w:rsidRPr="00D80A8D">
        <w:rPr>
          <w:b/>
          <w:bCs/>
          <w:i/>
          <w:iCs/>
        </w:rPr>
        <w:t xml:space="preserve"> </w:t>
      </w:r>
      <w:r w:rsidRPr="00D80A8D">
        <w:rPr>
          <w:b/>
          <w:bCs/>
          <w:i/>
          <w:iCs/>
        </w:rPr>
        <w:t>(61</w:t>
      </w:r>
      <w:r w:rsidRPr="00D80A8D">
        <w:t xml:space="preserve">) ostvareni u iznosu od </w:t>
      </w:r>
      <w:r w:rsidR="004E049F">
        <w:t>493976,50</w:t>
      </w:r>
      <w:r w:rsidR="00381E3D" w:rsidRPr="00D80A8D">
        <w:t xml:space="preserve"> eura,</w:t>
      </w:r>
      <w:r w:rsidR="007566AA" w:rsidRPr="00D80A8D">
        <w:t xml:space="preserve"> a</w:t>
      </w:r>
      <w:r w:rsidRPr="00D80A8D">
        <w:t xml:space="preserve"> obuhvaćaju porez na dohodak od nesamostalnoga rada, porez na dohodak od samostalnih djelatnosti (obrta), porez na dohodak od imovine i imovinskih prava, porez na robu i usluge, porez na korištenje dobara ili izvođenje aktivnosti i sl. </w:t>
      </w:r>
    </w:p>
    <w:p w14:paraId="6109FE28" w14:textId="77777777" w:rsidR="00D3334F" w:rsidRPr="00D80A8D" w:rsidRDefault="00D3334F" w:rsidP="00D80A8D">
      <w:pPr>
        <w:pStyle w:val="Tijeloteksta"/>
        <w:jc w:val="both"/>
      </w:pPr>
      <w:r w:rsidRPr="00D80A8D">
        <w:t>Osim navedenih poreza u tu skupinu proračunskih prihoda spadaju i porez na promet nekretninama, porez na potrošnju alkoholnih i bezalkoholnih pića koji plaćaju vlasnici</w:t>
      </w:r>
    </w:p>
    <w:p w14:paraId="57682809" w14:textId="77777777" w:rsidR="00D3334F" w:rsidRPr="00D80A8D" w:rsidRDefault="00D3334F" w:rsidP="00D80A8D">
      <w:pPr>
        <w:pStyle w:val="Tijeloteksta"/>
        <w:jc w:val="both"/>
      </w:pPr>
      <w:r w:rsidRPr="00D80A8D">
        <w:t>ugostiteljskih objekata</w:t>
      </w:r>
      <w:r w:rsidR="007566AA" w:rsidRPr="00D80A8D">
        <w:t xml:space="preserve"> i porez na kuće za odmor, </w:t>
      </w:r>
      <w:r w:rsidRPr="00D80A8D">
        <w:t>a sve sukladno Odluci o općinskim porezima.</w:t>
      </w:r>
    </w:p>
    <w:p w14:paraId="78CE3A9B" w14:textId="7398870D" w:rsidR="00381E3D" w:rsidRPr="00D80A8D" w:rsidRDefault="00381E3D" w:rsidP="00D80A8D">
      <w:pPr>
        <w:pStyle w:val="Tijeloteksta"/>
        <w:jc w:val="both"/>
      </w:pPr>
      <w:r w:rsidRPr="00D80A8D">
        <w:t xml:space="preserve">Prihodi od poreza ostvareni su </w:t>
      </w:r>
      <w:r w:rsidR="004E049F">
        <w:t xml:space="preserve">u razini </w:t>
      </w:r>
      <w:r w:rsidRPr="00D80A8D">
        <w:t>isto</w:t>
      </w:r>
      <w:r w:rsidR="00E475D0">
        <w:t>g</w:t>
      </w:r>
      <w:r w:rsidRPr="00D80A8D">
        <w:t xml:space="preserve"> razdoblj</w:t>
      </w:r>
      <w:r w:rsidR="00E475D0">
        <w:t>a</w:t>
      </w:r>
      <w:r w:rsidRPr="00D80A8D">
        <w:t xml:space="preserve"> prethodne godine</w:t>
      </w:r>
      <w:r w:rsidR="00327C8B" w:rsidRPr="00D80A8D">
        <w:t xml:space="preserve">, </w:t>
      </w:r>
      <w:r w:rsidR="00E475D0">
        <w:t xml:space="preserve">te očekivanih </w:t>
      </w:r>
      <w:r w:rsidR="00327C8B" w:rsidRPr="00D80A8D">
        <w:t xml:space="preserve"> </w:t>
      </w:r>
      <w:r w:rsidR="00E475D0">
        <w:t>49,08</w:t>
      </w:r>
      <w:r w:rsidR="00327C8B" w:rsidRPr="00D80A8D">
        <w:t>% od ukupno planiranih za 202</w:t>
      </w:r>
      <w:r w:rsidR="00E475D0">
        <w:t>4</w:t>
      </w:r>
      <w:r w:rsidR="00327C8B" w:rsidRPr="00D80A8D">
        <w:t>. godinu.</w:t>
      </w:r>
    </w:p>
    <w:p w14:paraId="51D4C380" w14:textId="356DD88E" w:rsidR="00D3334F" w:rsidRPr="00A26213" w:rsidRDefault="008F7409" w:rsidP="00D80A8D">
      <w:pPr>
        <w:pStyle w:val="Tijeloteksta"/>
        <w:jc w:val="both"/>
      </w:pPr>
      <w:r w:rsidRPr="00A26213">
        <w:rPr>
          <w:b/>
          <w:i/>
        </w:rPr>
        <w:lastRenderedPageBreak/>
        <w:t>P</w:t>
      </w:r>
      <w:r w:rsidR="00D3334F" w:rsidRPr="00A26213">
        <w:rPr>
          <w:b/>
          <w:i/>
        </w:rPr>
        <w:t xml:space="preserve">omoći iz inozemstva i od subjekata unutar općeg proračuna </w:t>
      </w:r>
      <w:r w:rsidR="00D3334F" w:rsidRPr="00A26213">
        <w:rPr>
          <w:b/>
        </w:rPr>
        <w:t xml:space="preserve">(63) </w:t>
      </w:r>
      <w:r w:rsidRPr="00A26213">
        <w:rPr>
          <w:bCs/>
        </w:rPr>
        <w:t xml:space="preserve">ostvarene su u iznosu od </w:t>
      </w:r>
      <w:r w:rsidR="00E475D0">
        <w:t>367.759,94</w:t>
      </w:r>
      <w:r w:rsidR="00B1261F">
        <w:t xml:space="preserve"> eura</w:t>
      </w:r>
      <w:r w:rsidRPr="00A26213">
        <w:t xml:space="preserve">, a tu </w:t>
      </w:r>
      <w:r w:rsidR="00D3334F" w:rsidRPr="00A26213">
        <w:t>spadaju pomoći županijsk</w:t>
      </w:r>
      <w:r w:rsidRPr="00A26213">
        <w:t>og</w:t>
      </w:r>
      <w:r w:rsidR="00D3334F" w:rsidRPr="00A26213">
        <w:t xml:space="preserve"> i državn</w:t>
      </w:r>
      <w:r w:rsidRPr="00A26213">
        <w:t>og</w:t>
      </w:r>
      <w:r w:rsidR="00D3334F" w:rsidRPr="00A26213">
        <w:t xml:space="preserve"> proračuna</w:t>
      </w:r>
      <w:r w:rsidRPr="00A26213">
        <w:t xml:space="preserve"> i</w:t>
      </w:r>
      <w:r w:rsidR="00D3334F" w:rsidRPr="00A26213">
        <w:t xml:space="preserve"> ostalih subjekata unutar općeg proračuna</w:t>
      </w:r>
      <w:r w:rsidRPr="00A26213">
        <w:t>, pomoći izvanproračunskih korisnika te prijenosi EU sredstava.</w:t>
      </w:r>
      <w:r w:rsidR="00D3334F" w:rsidRPr="00A26213">
        <w:t xml:space="preserve"> </w:t>
      </w:r>
    </w:p>
    <w:p w14:paraId="6A5CE45B" w14:textId="77777777" w:rsidR="008F7409" w:rsidRPr="00A26213" w:rsidRDefault="008F7409" w:rsidP="00C47818">
      <w:pPr>
        <w:pStyle w:val="Tijeloteksta"/>
        <w:ind w:left="360"/>
        <w:jc w:val="both"/>
      </w:pPr>
    </w:p>
    <w:p w14:paraId="08B1759E" w14:textId="50ECC4D2" w:rsidR="008F7409" w:rsidRPr="00A26213" w:rsidRDefault="008F7409" w:rsidP="00C47818">
      <w:pPr>
        <w:pStyle w:val="Tijeloteksta"/>
        <w:numPr>
          <w:ilvl w:val="0"/>
          <w:numId w:val="30"/>
        </w:numPr>
        <w:ind w:left="720"/>
        <w:jc w:val="both"/>
      </w:pPr>
      <w:r w:rsidRPr="00A26213">
        <w:t xml:space="preserve">Tekuće pomoći iz državnog proračuna u iznosu od </w:t>
      </w:r>
      <w:r w:rsidR="00E475D0">
        <w:t>13</w:t>
      </w:r>
      <w:r w:rsidR="00BE175B">
        <w:t>.</w:t>
      </w:r>
      <w:r w:rsidR="00E475D0">
        <w:t>691,60</w:t>
      </w:r>
      <w:r w:rsidR="00B1261F">
        <w:t xml:space="preserve"> eura</w:t>
      </w:r>
      <w:r w:rsidRPr="00A26213">
        <w:t xml:space="preserve"> za sufinanciranje</w:t>
      </w:r>
      <w:r w:rsidR="0007272C" w:rsidRPr="00A26213">
        <w:t xml:space="preserve"> </w:t>
      </w:r>
      <w:r w:rsidR="00BE175B">
        <w:t>fiskalne održivosti vrtića, sufinanciranje programa predškole te iz županijskog proračuna za program javnih potreba u prosvjeti</w:t>
      </w:r>
      <w:r w:rsidR="00B1261F">
        <w:t>.</w:t>
      </w:r>
    </w:p>
    <w:p w14:paraId="4E7B0373" w14:textId="3093032C" w:rsidR="009937B8" w:rsidRPr="00A26213" w:rsidRDefault="009937B8" w:rsidP="00C47818">
      <w:pPr>
        <w:pStyle w:val="Tijeloteksta"/>
        <w:numPr>
          <w:ilvl w:val="0"/>
          <w:numId w:val="30"/>
        </w:numPr>
        <w:ind w:left="720"/>
        <w:jc w:val="both"/>
      </w:pPr>
      <w:r w:rsidRPr="00A26213">
        <w:t xml:space="preserve">Kapitalne pomoći iz državnog proračuna u iznosu od </w:t>
      </w:r>
      <w:r w:rsidR="00BE175B">
        <w:t>120.400,00</w:t>
      </w:r>
      <w:r w:rsidR="00B1261F">
        <w:t xml:space="preserve"> eura</w:t>
      </w:r>
      <w:r w:rsidR="00E452BB" w:rsidRPr="00A26213">
        <w:t xml:space="preserve"> za</w:t>
      </w:r>
      <w:r w:rsidR="0055086F">
        <w:t xml:space="preserve"> </w:t>
      </w:r>
      <w:r w:rsidR="00BE175B">
        <w:t>rekonstrukciju knjižnice u Salima.</w:t>
      </w:r>
    </w:p>
    <w:p w14:paraId="6A534B5A" w14:textId="65020B6A" w:rsidR="0055086F" w:rsidRDefault="005A54B3" w:rsidP="00C47818">
      <w:pPr>
        <w:pStyle w:val="Tijeloteksta"/>
        <w:numPr>
          <w:ilvl w:val="0"/>
          <w:numId w:val="30"/>
        </w:numPr>
        <w:ind w:left="720"/>
        <w:jc w:val="both"/>
      </w:pPr>
      <w:r w:rsidRPr="0055086F">
        <w:t xml:space="preserve">Kapitalne pomoći </w:t>
      </w:r>
      <w:r w:rsidR="00BE175B">
        <w:t xml:space="preserve">temeljem prijenosa EU sredstava </w:t>
      </w:r>
      <w:bookmarkStart w:id="1" w:name="_Hlk174012546"/>
      <w:r w:rsidR="00BE175B">
        <w:t>u iznosu od 233</w:t>
      </w:r>
      <w:r w:rsidR="00B6133E">
        <w:t>.</w:t>
      </w:r>
      <w:r w:rsidR="00BE175B">
        <w:t>668,34 eura i to za dječje igralište Božava 35.358,34 eura i za sportsko igralište „Petar Lorini“ 198.310,00 eura. Ovi projekti su već plaćeni iz vlasitih sredstva ili revolving kredita pa će se dobivena sredstva utrošiti za vraćanje kredita i neku drugu nvesticiju.</w:t>
      </w:r>
      <w:bookmarkEnd w:id="1"/>
    </w:p>
    <w:p w14:paraId="51B26457" w14:textId="77777777" w:rsidR="001D7490" w:rsidRDefault="001D7490" w:rsidP="001D7490">
      <w:pPr>
        <w:pStyle w:val="Tijeloteksta"/>
        <w:ind w:left="360"/>
        <w:jc w:val="both"/>
      </w:pPr>
    </w:p>
    <w:p w14:paraId="7FA8E6A5" w14:textId="1BF500E0" w:rsidR="0055086F" w:rsidRPr="0055086F" w:rsidRDefault="0055086F" w:rsidP="001D7490">
      <w:pPr>
        <w:pStyle w:val="Tijeloteksta"/>
        <w:jc w:val="both"/>
      </w:pPr>
      <w:r>
        <w:t xml:space="preserve">Prihodi od pomoći ostvareni su za </w:t>
      </w:r>
      <w:r w:rsidR="001D7490">
        <w:t>81,89</w:t>
      </w:r>
      <w:r>
        <w:t>%</w:t>
      </w:r>
      <w:r w:rsidR="00990F9D">
        <w:t xml:space="preserve"> više u odnosu na </w:t>
      </w:r>
      <w:r w:rsidR="006B4F3A">
        <w:t xml:space="preserve">isto razdoblje </w:t>
      </w:r>
      <w:r w:rsidR="00990F9D">
        <w:t>prethodn</w:t>
      </w:r>
      <w:r w:rsidR="006B4F3A">
        <w:t>e</w:t>
      </w:r>
      <w:r w:rsidR="00990F9D">
        <w:t xml:space="preserve"> godin</w:t>
      </w:r>
      <w:r w:rsidR="006B4F3A">
        <w:t>e</w:t>
      </w:r>
      <w:r w:rsidR="00990F9D">
        <w:t xml:space="preserve">, a </w:t>
      </w:r>
      <w:r w:rsidR="001D7490">
        <w:t>8,67</w:t>
      </w:r>
      <w:r w:rsidR="00990F9D">
        <w:t xml:space="preserve">% </w:t>
      </w:r>
      <w:r w:rsidR="00E753DF">
        <w:t xml:space="preserve">od </w:t>
      </w:r>
      <w:r w:rsidR="00990F9D">
        <w:t>ukupno planiran</w:t>
      </w:r>
      <w:r w:rsidR="00E753DF">
        <w:t>ih</w:t>
      </w:r>
      <w:r w:rsidR="00990F9D">
        <w:t xml:space="preserve"> za 202</w:t>
      </w:r>
      <w:r w:rsidR="001D7490">
        <w:t>4</w:t>
      </w:r>
      <w:r w:rsidR="00990F9D">
        <w:t>. godinu.</w:t>
      </w:r>
    </w:p>
    <w:p w14:paraId="2E29A87E" w14:textId="77777777" w:rsidR="0007272C" w:rsidRPr="00A26213" w:rsidRDefault="0007272C" w:rsidP="00C47818">
      <w:pPr>
        <w:pStyle w:val="Odlomakpopisa"/>
        <w:spacing w:before="1"/>
        <w:ind w:left="720" w:right="975" w:firstLine="0"/>
        <w:jc w:val="both"/>
        <w:rPr>
          <w:sz w:val="24"/>
        </w:rPr>
      </w:pPr>
    </w:p>
    <w:p w14:paraId="011C2761" w14:textId="7D665A40" w:rsidR="00C8298A" w:rsidRPr="00D80A8D" w:rsidRDefault="00C8298A" w:rsidP="00D80A8D">
      <w:pPr>
        <w:pStyle w:val="Tijeloteksta"/>
        <w:jc w:val="both"/>
      </w:pPr>
      <w:r w:rsidRPr="00D80A8D">
        <w:rPr>
          <w:b/>
          <w:bCs/>
          <w:i/>
          <w:iCs/>
        </w:rPr>
        <w:t>Prihodi od imovine (64)</w:t>
      </w:r>
      <w:r w:rsidRPr="00D80A8D">
        <w:t xml:space="preserve"> ostvareni su u iznosu od </w:t>
      </w:r>
      <w:r w:rsidR="001D7490">
        <w:t>122.723,05</w:t>
      </w:r>
      <w:r w:rsidR="00802DAE" w:rsidRPr="00D80A8D">
        <w:t xml:space="preserve"> eura</w:t>
      </w:r>
      <w:r w:rsidRPr="00D80A8D">
        <w:t xml:space="preserve">. </w:t>
      </w:r>
      <w:r w:rsidR="0007272C" w:rsidRPr="00D80A8D">
        <w:t>P</w:t>
      </w:r>
      <w:r w:rsidRPr="00D80A8D">
        <w:t>rihod</w:t>
      </w:r>
      <w:r w:rsidR="001D7490">
        <w:t>e</w:t>
      </w:r>
      <w:r w:rsidRPr="00D80A8D">
        <w:t xml:space="preserve"> od imovine sačinjavaju prihodi od nefinancijske imovine. U tu skupinu prihoda spadaju:</w:t>
      </w:r>
    </w:p>
    <w:p w14:paraId="3DD26090" w14:textId="7EECB280" w:rsidR="00C8298A" w:rsidRPr="00D80A8D" w:rsidRDefault="00802DAE" w:rsidP="00D80A8D">
      <w:pPr>
        <w:pStyle w:val="Tijeloteksta"/>
        <w:numPr>
          <w:ilvl w:val="0"/>
          <w:numId w:val="32"/>
        </w:numPr>
        <w:jc w:val="both"/>
      </w:pPr>
      <w:r w:rsidRPr="00D80A8D">
        <w:t xml:space="preserve">naknada za </w:t>
      </w:r>
      <w:r w:rsidR="00C8298A" w:rsidRPr="00D80A8D">
        <w:t xml:space="preserve">koncesije </w:t>
      </w:r>
      <w:r w:rsidRPr="00D80A8D">
        <w:t xml:space="preserve">na </w:t>
      </w:r>
      <w:r w:rsidR="00485D19" w:rsidRPr="00D80A8D">
        <w:t>pomorsk</w:t>
      </w:r>
      <w:r w:rsidRPr="00D80A8D">
        <w:t>om</w:t>
      </w:r>
      <w:r w:rsidR="00485D19" w:rsidRPr="00D80A8D">
        <w:t xml:space="preserve"> dobr</w:t>
      </w:r>
      <w:r w:rsidRPr="00D80A8D">
        <w:t>u</w:t>
      </w:r>
      <w:r w:rsidR="00C8298A" w:rsidRPr="00D80A8D">
        <w:t xml:space="preserve">  </w:t>
      </w:r>
      <w:r w:rsidR="001D7490">
        <w:t>105.270,43</w:t>
      </w:r>
      <w:r w:rsidR="00C8298A" w:rsidRPr="00D80A8D">
        <w:t xml:space="preserve"> </w:t>
      </w:r>
      <w:r w:rsidRPr="00D80A8D">
        <w:t>eura</w:t>
      </w:r>
      <w:r w:rsidR="00C8298A" w:rsidRPr="00D80A8D">
        <w:t>,</w:t>
      </w:r>
    </w:p>
    <w:p w14:paraId="716D1936" w14:textId="2D05485C" w:rsidR="00802DAE" w:rsidRPr="00D80A8D" w:rsidRDefault="00802DAE" w:rsidP="001D7490">
      <w:pPr>
        <w:pStyle w:val="Tijeloteksta"/>
        <w:numPr>
          <w:ilvl w:val="0"/>
          <w:numId w:val="32"/>
        </w:numPr>
        <w:jc w:val="both"/>
      </w:pPr>
      <w:r w:rsidRPr="00D80A8D">
        <w:t xml:space="preserve">naknada za </w:t>
      </w:r>
      <w:r w:rsidR="001D7490">
        <w:t>korištenje pomorskog dobra</w:t>
      </w:r>
      <w:r w:rsidRPr="00D80A8D">
        <w:t xml:space="preserve"> </w:t>
      </w:r>
      <w:r w:rsidR="001D7490">
        <w:t>8.200,00</w:t>
      </w:r>
      <w:r w:rsidRPr="00D80A8D">
        <w:t xml:space="preserve"> eura,</w:t>
      </w:r>
    </w:p>
    <w:p w14:paraId="4ACF43D9" w14:textId="7DFDDA65" w:rsidR="00C8298A" w:rsidRPr="00D80A8D" w:rsidRDefault="00485D19" w:rsidP="00D80A8D">
      <w:pPr>
        <w:pStyle w:val="Tijeloteksta"/>
        <w:numPr>
          <w:ilvl w:val="0"/>
          <w:numId w:val="32"/>
        </w:numPr>
        <w:jc w:val="both"/>
      </w:pPr>
      <w:r w:rsidRPr="00D80A8D">
        <w:t xml:space="preserve">prihod od </w:t>
      </w:r>
      <w:r w:rsidR="00C8298A" w:rsidRPr="00D80A8D">
        <w:t>zakup</w:t>
      </w:r>
      <w:r w:rsidRPr="00D80A8D">
        <w:t>a</w:t>
      </w:r>
      <w:r w:rsidR="00C8298A" w:rsidRPr="00D80A8D">
        <w:t xml:space="preserve"> poslovn</w:t>
      </w:r>
      <w:r w:rsidR="00802DAE" w:rsidRPr="00D80A8D">
        <w:t>ih</w:t>
      </w:r>
      <w:r w:rsidR="00C8298A" w:rsidRPr="00D80A8D">
        <w:t xml:space="preserve"> prostora </w:t>
      </w:r>
      <w:r w:rsidR="00802DAE" w:rsidRPr="00D80A8D">
        <w:t>5.</w:t>
      </w:r>
      <w:r w:rsidR="001D7490">
        <w:t>792,23</w:t>
      </w:r>
      <w:r w:rsidR="00802DAE" w:rsidRPr="00D80A8D">
        <w:t xml:space="preserve"> eura</w:t>
      </w:r>
      <w:r w:rsidR="00C8298A" w:rsidRPr="00D80A8D">
        <w:t>,</w:t>
      </w:r>
    </w:p>
    <w:p w14:paraId="0C6AC197" w14:textId="05030E67" w:rsidR="00485D19" w:rsidRPr="00D80A8D" w:rsidRDefault="00485D19" w:rsidP="00D80A8D">
      <w:pPr>
        <w:pStyle w:val="Tijeloteksta"/>
        <w:numPr>
          <w:ilvl w:val="0"/>
          <w:numId w:val="32"/>
        </w:numPr>
        <w:jc w:val="both"/>
      </w:pPr>
      <w:r w:rsidRPr="00D80A8D">
        <w:t xml:space="preserve">spomenička renta </w:t>
      </w:r>
      <w:r w:rsidR="001D7490">
        <w:t>2,04</w:t>
      </w:r>
      <w:r w:rsidR="00802DAE" w:rsidRPr="00D80A8D">
        <w:t xml:space="preserve"> eura,</w:t>
      </w:r>
    </w:p>
    <w:p w14:paraId="76916497" w14:textId="784B731C" w:rsidR="00C8298A" w:rsidRPr="00D80A8D" w:rsidRDefault="00802DAE" w:rsidP="00D80A8D">
      <w:pPr>
        <w:pStyle w:val="Tijeloteksta"/>
        <w:numPr>
          <w:ilvl w:val="0"/>
          <w:numId w:val="32"/>
        </w:numPr>
        <w:jc w:val="both"/>
      </w:pPr>
      <w:r w:rsidRPr="00D80A8D">
        <w:t xml:space="preserve">naknade za korištenje </w:t>
      </w:r>
      <w:r w:rsidR="00C8298A" w:rsidRPr="00D80A8D">
        <w:t>javn</w:t>
      </w:r>
      <w:r w:rsidRPr="00D80A8D">
        <w:t>ih</w:t>
      </w:r>
      <w:r w:rsidR="00C8298A" w:rsidRPr="00D80A8D">
        <w:t xml:space="preserve"> površin</w:t>
      </w:r>
      <w:r w:rsidRPr="00D80A8D">
        <w:t>a</w:t>
      </w:r>
      <w:r w:rsidR="00C8298A" w:rsidRPr="00D80A8D">
        <w:t xml:space="preserve"> </w:t>
      </w:r>
      <w:r w:rsidR="001D7490">
        <w:t>3.356,48</w:t>
      </w:r>
      <w:r w:rsidRPr="00D80A8D">
        <w:t xml:space="preserve"> eura</w:t>
      </w:r>
      <w:r w:rsidR="00C8298A" w:rsidRPr="00D80A8D">
        <w:t>,</w:t>
      </w:r>
    </w:p>
    <w:p w14:paraId="42CCF189" w14:textId="5FE1FDB1" w:rsidR="00C8298A" w:rsidRPr="00D80A8D" w:rsidRDefault="00C8298A" w:rsidP="00D80A8D">
      <w:pPr>
        <w:pStyle w:val="Tijeloteksta"/>
        <w:numPr>
          <w:ilvl w:val="0"/>
          <w:numId w:val="32"/>
        </w:numPr>
        <w:jc w:val="both"/>
      </w:pPr>
      <w:r w:rsidRPr="00D80A8D">
        <w:t>naknada za zadržavanje nezakonito izgr</w:t>
      </w:r>
      <w:r w:rsidR="00802DAE" w:rsidRPr="00D80A8D">
        <w:t>a</w:t>
      </w:r>
      <w:r w:rsidRPr="00D80A8D">
        <w:t>đen</w:t>
      </w:r>
      <w:r w:rsidR="00802DAE" w:rsidRPr="00D80A8D">
        <w:t>ih</w:t>
      </w:r>
      <w:r w:rsidRPr="00D80A8D">
        <w:t xml:space="preserve"> zgrad</w:t>
      </w:r>
      <w:r w:rsidR="00802DAE" w:rsidRPr="00D80A8D">
        <w:t>a</w:t>
      </w:r>
      <w:r w:rsidRPr="00D80A8D">
        <w:t xml:space="preserve"> </w:t>
      </w:r>
      <w:r w:rsidR="001D7490">
        <w:t>101,87</w:t>
      </w:r>
      <w:r w:rsidR="00802DAE" w:rsidRPr="00D80A8D">
        <w:t xml:space="preserve"> eura</w:t>
      </w:r>
      <w:r w:rsidRPr="00D80A8D">
        <w:t>.</w:t>
      </w:r>
    </w:p>
    <w:p w14:paraId="63787534" w14:textId="34B9303B" w:rsidR="00802DAE" w:rsidRPr="00D80A8D" w:rsidRDefault="00802DAE" w:rsidP="00D80A8D">
      <w:pPr>
        <w:pStyle w:val="Tijeloteksta"/>
        <w:jc w:val="both"/>
      </w:pPr>
      <w:r w:rsidRPr="00D80A8D">
        <w:t xml:space="preserve">Prihodi od imovine ostvareni su za </w:t>
      </w:r>
      <w:r w:rsidR="001D7490">
        <w:t>32</w:t>
      </w:r>
      <w:r w:rsidRPr="00D80A8D">
        <w:t xml:space="preserve">% </w:t>
      </w:r>
      <w:r w:rsidR="001D7490">
        <w:t>manje</w:t>
      </w:r>
      <w:r w:rsidRPr="00D80A8D">
        <w:t xml:space="preserve"> u odnosu na </w:t>
      </w:r>
      <w:r w:rsidR="006B4F3A" w:rsidRPr="00D80A8D">
        <w:t xml:space="preserve">isto razdoblje </w:t>
      </w:r>
      <w:r w:rsidRPr="00D80A8D">
        <w:t>prethodn</w:t>
      </w:r>
      <w:r w:rsidR="006B4F3A" w:rsidRPr="00D80A8D">
        <w:t>e</w:t>
      </w:r>
      <w:r w:rsidRPr="00D80A8D">
        <w:t xml:space="preserve"> godin</w:t>
      </w:r>
      <w:r w:rsidR="006B4F3A" w:rsidRPr="00D80A8D">
        <w:t>e</w:t>
      </w:r>
      <w:r w:rsidRPr="00D80A8D">
        <w:t xml:space="preserve">, a </w:t>
      </w:r>
      <w:r w:rsidR="00894E24">
        <w:t>33,32</w:t>
      </w:r>
      <w:r w:rsidRPr="00D80A8D">
        <w:t xml:space="preserve">% </w:t>
      </w:r>
      <w:r w:rsidR="00E753DF" w:rsidRPr="00D80A8D">
        <w:t>od ukupno</w:t>
      </w:r>
      <w:r w:rsidRPr="00D80A8D">
        <w:t xml:space="preserve"> planiran</w:t>
      </w:r>
      <w:r w:rsidR="00E753DF" w:rsidRPr="00D80A8D">
        <w:t>ih</w:t>
      </w:r>
      <w:r w:rsidRPr="00D80A8D">
        <w:t xml:space="preserve"> za 202</w:t>
      </w:r>
      <w:r w:rsidR="00894E24">
        <w:t>4</w:t>
      </w:r>
      <w:r w:rsidRPr="00D80A8D">
        <w:t>. godinu.</w:t>
      </w:r>
    </w:p>
    <w:p w14:paraId="5A1B83F7" w14:textId="77777777" w:rsidR="00E753DF" w:rsidRDefault="00E753DF" w:rsidP="00D80A8D">
      <w:pPr>
        <w:pStyle w:val="Tijeloteksta"/>
        <w:rPr>
          <w:sz w:val="32"/>
          <w:highlight w:val="yellow"/>
        </w:rPr>
      </w:pPr>
    </w:p>
    <w:p w14:paraId="7BF097C9" w14:textId="0E751456" w:rsidR="00485D19" w:rsidRPr="00745B91" w:rsidRDefault="00485D19" w:rsidP="00D80A8D">
      <w:pPr>
        <w:pStyle w:val="Tijeloteksta"/>
        <w:jc w:val="both"/>
        <w:rPr>
          <w:bCs/>
          <w:highlight w:val="yellow"/>
        </w:rPr>
      </w:pPr>
      <w:r w:rsidRPr="00B74C3E">
        <w:rPr>
          <w:b/>
          <w:bCs/>
          <w:i/>
          <w:iCs/>
        </w:rPr>
        <w:t>P</w:t>
      </w:r>
      <w:r w:rsidR="00C8298A" w:rsidRPr="00B74C3E">
        <w:rPr>
          <w:b/>
          <w:bCs/>
          <w:i/>
          <w:iCs/>
        </w:rPr>
        <w:t>rihod</w:t>
      </w:r>
      <w:r w:rsidRPr="00B74C3E">
        <w:rPr>
          <w:b/>
          <w:bCs/>
          <w:i/>
          <w:iCs/>
        </w:rPr>
        <w:t>i</w:t>
      </w:r>
      <w:r w:rsidR="00C8298A" w:rsidRPr="00B74C3E">
        <w:rPr>
          <w:b/>
          <w:bCs/>
          <w:i/>
          <w:iCs/>
        </w:rPr>
        <w:t xml:space="preserve"> od upravnih i administrativnih pristojbi, pristojbi po</w:t>
      </w:r>
      <w:r w:rsidR="00E753DF" w:rsidRPr="00B74C3E">
        <w:rPr>
          <w:b/>
          <w:bCs/>
          <w:i/>
          <w:iCs/>
        </w:rPr>
        <w:t xml:space="preserve"> </w:t>
      </w:r>
      <w:r w:rsidR="00C8298A" w:rsidRPr="00B74C3E">
        <w:rPr>
          <w:b/>
          <w:bCs/>
          <w:i/>
          <w:iCs/>
        </w:rPr>
        <w:t>posebnim propisima i naknada</w:t>
      </w:r>
      <w:r w:rsidR="00E43819" w:rsidRPr="00B74C3E">
        <w:rPr>
          <w:b/>
          <w:bCs/>
          <w:i/>
          <w:iCs/>
        </w:rPr>
        <w:t xml:space="preserve"> </w:t>
      </w:r>
      <w:r w:rsidR="00C8298A" w:rsidRPr="00B74C3E">
        <w:rPr>
          <w:b/>
          <w:bCs/>
          <w:i/>
          <w:iCs/>
        </w:rPr>
        <w:t>(65)</w:t>
      </w:r>
      <w:r w:rsidR="00C8298A" w:rsidRPr="00B74C3E">
        <w:t xml:space="preserve"> </w:t>
      </w:r>
      <w:r w:rsidRPr="00B74C3E">
        <w:rPr>
          <w:bCs/>
        </w:rPr>
        <w:t xml:space="preserve">ostvareni su u iznosu od </w:t>
      </w:r>
      <w:r w:rsidR="00B74C3E" w:rsidRPr="00B74C3E">
        <w:rPr>
          <w:bCs/>
        </w:rPr>
        <w:t>227</w:t>
      </w:r>
      <w:r w:rsidR="00B74C3E">
        <w:rPr>
          <w:bCs/>
        </w:rPr>
        <w:t>.</w:t>
      </w:r>
      <w:r w:rsidR="00B74C3E" w:rsidRPr="00B74C3E">
        <w:rPr>
          <w:bCs/>
        </w:rPr>
        <w:t>473,31</w:t>
      </w:r>
      <w:r w:rsidR="00E753DF" w:rsidRPr="00B74C3E">
        <w:rPr>
          <w:bCs/>
        </w:rPr>
        <w:t xml:space="preserve"> eura</w:t>
      </w:r>
      <w:r w:rsidRPr="00B74C3E">
        <w:rPr>
          <w:bCs/>
        </w:rPr>
        <w:t xml:space="preserve">. </w:t>
      </w:r>
      <w:r w:rsidR="000A46E7" w:rsidRPr="00B74C3E">
        <w:rPr>
          <w:bCs/>
        </w:rPr>
        <w:t>U tu skupinu spadaju:</w:t>
      </w:r>
    </w:p>
    <w:p w14:paraId="57FC035D" w14:textId="05A5D327" w:rsidR="000A46E7" w:rsidRPr="005A08D6" w:rsidRDefault="000A46E7" w:rsidP="00D80A8D">
      <w:pPr>
        <w:pStyle w:val="Tijeloteksta"/>
        <w:numPr>
          <w:ilvl w:val="0"/>
          <w:numId w:val="33"/>
        </w:numPr>
        <w:jc w:val="both"/>
        <w:rPr>
          <w:bCs/>
        </w:rPr>
      </w:pPr>
      <w:r w:rsidRPr="005A08D6">
        <w:rPr>
          <w:bCs/>
        </w:rPr>
        <w:t xml:space="preserve">prihod od prodaje državnih biljega </w:t>
      </w:r>
      <w:r w:rsidR="005A08D6" w:rsidRPr="005A08D6">
        <w:rPr>
          <w:bCs/>
        </w:rPr>
        <w:t>4,07</w:t>
      </w:r>
      <w:r w:rsidR="00E753DF" w:rsidRPr="005A08D6">
        <w:rPr>
          <w:bCs/>
        </w:rPr>
        <w:t xml:space="preserve"> eura,</w:t>
      </w:r>
    </w:p>
    <w:p w14:paraId="7A19DEAC" w14:textId="64ACF041" w:rsidR="000A46E7" w:rsidRPr="005A08D6" w:rsidRDefault="000A46E7" w:rsidP="00D80A8D">
      <w:pPr>
        <w:pStyle w:val="Tijeloteksta"/>
        <w:numPr>
          <w:ilvl w:val="0"/>
          <w:numId w:val="33"/>
        </w:numPr>
        <w:jc w:val="both"/>
        <w:rPr>
          <w:bCs/>
        </w:rPr>
      </w:pPr>
      <w:r w:rsidRPr="005A08D6">
        <w:rPr>
          <w:bCs/>
        </w:rPr>
        <w:t xml:space="preserve">prihod od boravišne pristojbe </w:t>
      </w:r>
      <w:r w:rsidR="005A08D6" w:rsidRPr="005A08D6">
        <w:rPr>
          <w:bCs/>
        </w:rPr>
        <w:t>13.874,94</w:t>
      </w:r>
      <w:r w:rsidR="00E753DF" w:rsidRPr="005A08D6">
        <w:rPr>
          <w:bCs/>
        </w:rPr>
        <w:t xml:space="preserve"> eura</w:t>
      </w:r>
      <w:r w:rsidR="00020187" w:rsidRPr="005A08D6">
        <w:rPr>
          <w:bCs/>
        </w:rPr>
        <w:t xml:space="preserve"> (Sali </w:t>
      </w:r>
      <w:r w:rsidR="005A08D6" w:rsidRPr="005A08D6">
        <w:rPr>
          <w:bCs/>
        </w:rPr>
        <w:t>2.077,30</w:t>
      </w:r>
      <w:r w:rsidR="00E753DF" w:rsidRPr="005A08D6">
        <w:rPr>
          <w:bCs/>
        </w:rPr>
        <w:t xml:space="preserve"> EUR</w:t>
      </w:r>
      <w:r w:rsidR="00020187" w:rsidRPr="005A08D6">
        <w:rPr>
          <w:bCs/>
        </w:rPr>
        <w:t xml:space="preserve">, Božava </w:t>
      </w:r>
      <w:r w:rsidR="005A08D6" w:rsidRPr="005A08D6">
        <w:rPr>
          <w:bCs/>
        </w:rPr>
        <w:t>1.375,95</w:t>
      </w:r>
      <w:r w:rsidR="00E753DF" w:rsidRPr="005A08D6">
        <w:rPr>
          <w:bCs/>
        </w:rPr>
        <w:t xml:space="preserve"> EUR</w:t>
      </w:r>
      <w:r w:rsidR="005A08D6" w:rsidRPr="005A08D6">
        <w:rPr>
          <w:bCs/>
        </w:rPr>
        <w:t>, plovni objekti 10.421,69 EUR</w:t>
      </w:r>
      <w:r w:rsidR="00E753DF" w:rsidRPr="005A08D6">
        <w:rPr>
          <w:bCs/>
        </w:rPr>
        <w:t>)</w:t>
      </w:r>
      <w:r w:rsidR="00020187" w:rsidRPr="005A08D6">
        <w:rPr>
          <w:bCs/>
        </w:rPr>
        <w:t xml:space="preserve">, </w:t>
      </w:r>
    </w:p>
    <w:p w14:paraId="53354957" w14:textId="0DECCE75" w:rsidR="00020187" w:rsidRPr="005A08D6" w:rsidRDefault="00020187" w:rsidP="00D80A8D">
      <w:pPr>
        <w:pStyle w:val="Tijeloteksta"/>
        <w:numPr>
          <w:ilvl w:val="0"/>
          <w:numId w:val="33"/>
        </w:numPr>
        <w:jc w:val="both"/>
        <w:rPr>
          <w:bCs/>
        </w:rPr>
      </w:pPr>
      <w:r w:rsidRPr="005A08D6">
        <w:rPr>
          <w:bCs/>
        </w:rPr>
        <w:t xml:space="preserve">vodni doprinos </w:t>
      </w:r>
      <w:r w:rsidR="005A08D6" w:rsidRPr="005A08D6">
        <w:rPr>
          <w:bCs/>
        </w:rPr>
        <w:t>294,29</w:t>
      </w:r>
      <w:r w:rsidR="00E753DF" w:rsidRPr="005A08D6">
        <w:rPr>
          <w:bCs/>
        </w:rPr>
        <w:t xml:space="preserve"> eura,</w:t>
      </w:r>
    </w:p>
    <w:p w14:paraId="3E4B7974" w14:textId="228F6336" w:rsidR="00020187" w:rsidRPr="00FF7E46" w:rsidRDefault="00020187" w:rsidP="00D80A8D">
      <w:pPr>
        <w:pStyle w:val="Tijeloteksta"/>
        <w:numPr>
          <w:ilvl w:val="0"/>
          <w:numId w:val="33"/>
        </w:numPr>
        <w:jc w:val="both"/>
        <w:rPr>
          <w:bCs/>
        </w:rPr>
      </w:pPr>
      <w:r w:rsidRPr="00FF7E46">
        <w:rPr>
          <w:bCs/>
        </w:rPr>
        <w:t xml:space="preserve">ostali nespomenuti prihodi </w:t>
      </w:r>
      <w:r w:rsidR="005A08D6" w:rsidRPr="00FF7E46">
        <w:rPr>
          <w:bCs/>
        </w:rPr>
        <w:t>88.723,97</w:t>
      </w:r>
      <w:r w:rsidR="00E753DF" w:rsidRPr="00FF7E46">
        <w:rPr>
          <w:bCs/>
        </w:rPr>
        <w:t xml:space="preserve"> eura</w:t>
      </w:r>
      <w:r w:rsidRPr="00FF7E46">
        <w:rPr>
          <w:bCs/>
        </w:rPr>
        <w:t xml:space="preserve"> (</w:t>
      </w:r>
      <w:r w:rsidR="005A08D6" w:rsidRPr="00FF7E46">
        <w:rPr>
          <w:bCs/>
        </w:rPr>
        <w:t>Hrvatske šume – naknada sudskih troškova (</w:t>
      </w:r>
      <w:r w:rsidR="00FF7E46" w:rsidRPr="00FF7E46">
        <w:rPr>
          <w:bCs/>
        </w:rPr>
        <w:t xml:space="preserve">obveza </w:t>
      </w:r>
      <w:r w:rsidR="005A08D6" w:rsidRPr="00FF7E46">
        <w:rPr>
          <w:bCs/>
        </w:rPr>
        <w:t>za prije</w:t>
      </w:r>
      <w:r w:rsidR="00FF7E46" w:rsidRPr="00FF7E46">
        <w:rPr>
          <w:bCs/>
        </w:rPr>
        <w:t xml:space="preserve">nos) 64.969,53 EUR, Hrvatski telekom – za korištenje infrastrukture 14.800,54 EUR,  </w:t>
      </w:r>
      <w:r w:rsidRPr="00FF7E46">
        <w:rPr>
          <w:bCs/>
        </w:rPr>
        <w:t xml:space="preserve">izmjera </w:t>
      </w:r>
      <w:r w:rsidR="00FF7E46" w:rsidRPr="00FF7E46">
        <w:rPr>
          <w:bCs/>
        </w:rPr>
        <w:t>7.554,57</w:t>
      </w:r>
      <w:r w:rsidR="00E753DF" w:rsidRPr="00FF7E46">
        <w:rPr>
          <w:bCs/>
        </w:rPr>
        <w:t xml:space="preserve"> EUR</w:t>
      </w:r>
      <w:r w:rsidRPr="00FF7E46">
        <w:rPr>
          <w:bCs/>
        </w:rPr>
        <w:t xml:space="preserve">, </w:t>
      </w:r>
      <w:r w:rsidR="00FF7E46" w:rsidRPr="00FF7E46">
        <w:rPr>
          <w:bCs/>
        </w:rPr>
        <w:t>naknada za promjenu namjene zemljišta 1.114,75 EUR, neprepoznate uplate 284,58</w:t>
      </w:r>
      <w:r w:rsidRPr="00FF7E46">
        <w:rPr>
          <w:bCs/>
        </w:rPr>
        <w:t xml:space="preserve"> </w:t>
      </w:r>
      <w:r w:rsidR="00E753DF" w:rsidRPr="00FF7E46">
        <w:rPr>
          <w:bCs/>
        </w:rPr>
        <w:t xml:space="preserve"> EUR</w:t>
      </w:r>
      <w:r w:rsidRPr="00FF7E46">
        <w:rPr>
          <w:bCs/>
        </w:rPr>
        <w:t>)</w:t>
      </w:r>
    </w:p>
    <w:p w14:paraId="707F31BA" w14:textId="026EB91D" w:rsidR="00020187" w:rsidRPr="00FF7E46" w:rsidRDefault="00020187" w:rsidP="00D80A8D">
      <w:pPr>
        <w:pStyle w:val="Tijeloteksta"/>
        <w:numPr>
          <w:ilvl w:val="0"/>
          <w:numId w:val="33"/>
        </w:numPr>
        <w:jc w:val="both"/>
        <w:rPr>
          <w:bCs/>
        </w:rPr>
      </w:pPr>
      <w:r w:rsidRPr="00FF7E46">
        <w:rPr>
          <w:bCs/>
        </w:rPr>
        <w:t xml:space="preserve">komunalni doprinosi </w:t>
      </w:r>
      <w:r w:rsidR="00FF7E46" w:rsidRPr="00FF7E46">
        <w:rPr>
          <w:bCs/>
        </w:rPr>
        <w:t>47.061,97</w:t>
      </w:r>
      <w:r w:rsidR="00E753DF" w:rsidRPr="00FF7E46">
        <w:rPr>
          <w:bCs/>
        </w:rPr>
        <w:t xml:space="preserve"> eura,</w:t>
      </w:r>
    </w:p>
    <w:p w14:paraId="5AA39D90" w14:textId="430628AB" w:rsidR="00020187" w:rsidRPr="00FF7E46" w:rsidRDefault="00020187" w:rsidP="00D80A8D">
      <w:pPr>
        <w:pStyle w:val="Tijeloteksta"/>
        <w:numPr>
          <w:ilvl w:val="0"/>
          <w:numId w:val="33"/>
        </w:numPr>
        <w:jc w:val="both"/>
        <w:rPr>
          <w:bCs/>
        </w:rPr>
      </w:pPr>
      <w:r w:rsidRPr="00FF7E46">
        <w:rPr>
          <w:bCs/>
        </w:rPr>
        <w:t xml:space="preserve">komunalna naknada </w:t>
      </w:r>
      <w:r w:rsidR="00FF7E46" w:rsidRPr="00FF7E46">
        <w:rPr>
          <w:bCs/>
        </w:rPr>
        <w:t>77.514,07</w:t>
      </w:r>
      <w:r w:rsidR="00E753DF" w:rsidRPr="00FF7E46">
        <w:rPr>
          <w:bCs/>
        </w:rPr>
        <w:t xml:space="preserve"> eura.</w:t>
      </w:r>
    </w:p>
    <w:p w14:paraId="2118BFCF" w14:textId="03FA6BA6" w:rsidR="00E753DF" w:rsidRDefault="00E753DF" w:rsidP="00D80A8D">
      <w:pPr>
        <w:pStyle w:val="Tijeloteksta"/>
        <w:jc w:val="both"/>
      </w:pPr>
      <w:r w:rsidRPr="00FF7E46">
        <w:t xml:space="preserve">Prihodi od upravnih i administrativnih pristojbi, pristojbi po </w:t>
      </w:r>
      <w:r w:rsidR="006B4F3A" w:rsidRPr="00FF7E46">
        <w:t>posebnim propisima i naknada</w:t>
      </w:r>
      <w:r w:rsidRPr="00FF7E46">
        <w:t xml:space="preserve"> ostvareni su za </w:t>
      </w:r>
      <w:r w:rsidR="00FF7E46" w:rsidRPr="00FF7E46">
        <w:t>128,73</w:t>
      </w:r>
      <w:r w:rsidRPr="00FF7E46">
        <w:t xml:space="preserve">% više u odnosu na </w:t>
      </w:r>
      <w:r w:rsidR="006B4F3A" w:rsidRPr="00FF7E46">
        <w:t xml:space="preserve">isto razdoblje </w:t>
      </w:r>
      <w:r w:rsidRPr="00FF7E46">
        <w:t>prethodn</w:t>
      </w:r>
      <w:r w:rsidR="006B4F3A" w:rsidRPr="00FF7E46">
        <w:t>e</w:t>
      </w:r>
      <w:r w:rsidRPr="00FF7E46">
        <w:t xml:space="preserve"> godin</w:t>
      </w:r>
      <w:r w:rsidR="006B4F3A" w:rsidRPr="00FF7E46">
        <w:t>e</w:t>
      </w:r>
      <w:r w:rsidRPr="00FF7E46">
        <w:t xml:space="preserve">, a </w:t>
      </w:r>
      <w:r w:rsidR="00FF7E46" w:rsidRPr="00FF7E46">
        <w:t>41,36</w:t>
      </w:r>
      <w:r w:rsidRPr="00FF7E46">
        <w:t>% od ukupno planiranih za 202</w:t>
      </w:r>
      <w:r w:rsidR="00FF7E46" w:rsidRPr="00FF7E46">
        <w:t>4</w:t>
      </w:r>
      <w:r w:rsidRPr="00FF7E46">
        <w:t>. godinu.</w:t>
      </w:r>
    </w:p>
    <w:p w14:paraId="60BBFA47" w14:textId="77777777" w:rsidR="00FF7E46" w:rsidRDefault="00FF7E46" w:rsidP="00D80A8D">
      <w:pPr>
        <w:pStyle w:val="Tijeloteksta"/>
        <w:jc w:val="both"/>
      </w:pPr>
    </w:p>
    <w:p w14:paraId="2FFD502E" w14:textId="0829C8CE" w:rsidR="00FF7E46" w:rsidRPr="00FF7E46" w:rsidRDefault="00FF7E46" w:rsidP="00D80A8D">
      <w:pPr>
        <w:pStyle w:val="Tijeloteksta"/>
        <w:jc w:val="both"/>
      </w:pPr>
      <w:r>
        <w:rPr>
          <w:b/>
          <w:bCs/>
          <w:i/>
          <w:iCs/>
        </w:rPr>
        <w:t>Prihodi od prodaje proizvoda i robe te pruženih usluga i prihodi od donacija (66)</w:t>
      </w:r>
      <w:r>
        <w:t xml:space="preserve"> ostvareni su u iznosu </w:t>
      </w:r>
      <w:r w:rsidR="002B5B63">
        <w:t>od 10.588,13 eura što je 39,16 % ukupno planiranih sredstava za 2024. godinu, a odnose se na vlastite prihode proračunskih korisnika u iznosu od 10.438,13 eura i donacije u iznosu od 150,00 eura.</w:t>
      </w:r>
    </w:p>
    <w:p w14:paraId="51E073DB" w14:textId="77777777" w:rsidR="00C8298A" w:rsidRPr="00FF7E46" w:rsidRDefault="00C8298A" w:rsidP="00580D98">
      <w:pPr>
        <w:pStyle w:val="Tijeloteksta"/>
        <w:spacing w:before="8"/>
        <w:jc w:val="both"/>
        <w:rPr>
          <w:sz w:val="23"/>
        </w:rPr>
      </w:pPr>
    </w:p>
    <w:p w14:paraId="2AC96A88" w14:textId="30F86DA2" w:rsidR="00C8298A" w:rsidRPr="002B5B63" w:rsidRDefault="00C8298A" w:rsidP="00C47818">
      <w:pPr>
        <w:pStyle w:val="Tijeloteksta"/>
        <w:jc w:val="both"/>
      </w:pPr>
      <w:r w:rsidRPr="002B5B63">
        <w:rPr>
          <w:b/>
          <w:bCs/>
          <w:i/>
          <w:iCs/>
        </w:rPr>
        <w:t>Kazne, upravne mjere i ostali prihodi (68)</w:t>
      </w:r>
      <w:r w:rsidRPr="002B5B63">
        <w:t xml:space="preserve"> </w:t>
      </w:r>
      <w:r w:rsidR="002B5B63" w:rsidRPr="002B5B63">
        <w:t xml:space="preserve">u prvoj polovini 2024. godine nisu </w:t>
      </w:r>
      <w:r w:rsidR="00020187" w:rsidRPr="002B5B63">
        <w:t>ostvareni</w:t>
      </w:r>
      <w:r w:rsidR="002B5B63" w:rsidRPr="002B5B63">
        <w:t xml:space="preserve">. </w:t>
      </w:r>
      <w:r w:rsidRPr="002B5B63">
        <w:t xml:space="preserve"> </w:t>
      </w:r>
    </w:p>
    <w:p w14:paraId="0C08B24F" w14:textId="53F72F3F" w:rsidR="00C8298A" w:rsidRPr="002B5B63" w:rsidRDefault="008A72A5" w:rsidP="00580D98">
      <w:pPr>
        <w:pStyle w:val="Tijeloteksta"/>
        <w:spacing w:before="10"/>
        <w:jc w:val="both"/>
        <w:rPr>
          <w:b/>
          <w:bCs/>
          <w:u w:val="single"/>
        </w:rPr>
      </w:pPr>
      <w:r w:rsidRPr="002B5B63">
        <w:rPr>
          <w:b/>
          <w:bCs/>
          <w:u w:val="single"/>
        </w:rPr>
        <w:lastRenderedPageBreak/>
        <w:t>Prihodi od prodaje nefinancijske imovine</w:t>
      </w:r>
    </w:p>
    <w:p w14:paraId="759E462D" w14:textId="77777777" w:rsidR="008A72A5" w:rsidRPr="002B5B63" w:rsidRDefault="008A72A5" w:rsidP="00580D98">
      <w:pPr>
        <w:pStyle w:val="Tijeloteksta"/>
        <w:spacing w:before="10"/>
        <w:jc w:val="both"/>
        <w:rPr>
          <w:b/>
          <w:bCs/>
          <w:u w:val="single"/>
        </w:rPr>
      </w:pPr>
    </w:p>
    <w:p w14:paraId="44AD3E71" w14:textId="7CE478F7" w:rsidR="00C8298A" w:rsidRPr="002B5B63" w:rsidRDefault="00E57976" w:rsidP="00C47818">
      <w:pPr>
        <w:pStyle w:val="Tijeloteksta"/>
      </w:pPr>
      <w:r w:rsidRPr="002B5B63">
        <w:rPr>
          <w:b/>
          <w:bCs/>
          <w:i/>
          <w:iCs/>
        </w:rPr>
        <w:t>Prihodi od prodaje nefinancijske imovine</w:t>
      </w:r>
      <w:r w:rsidRPr="002B5B63">
        <w:t xml:space="preserve"> odnose se na</w:t>
      </w:r>
      <w:r w:rsidR="00C8298A" w:rsidRPr="002B5B63">
        <w:t xml:space="preserve"> prihod od prodaje nefinancijske imovine – prirodnih bogatstava tj. zemljišta. Navedeni prihodi u </w:t>
      </w:r>
      <w:r w:rsidR="006B4F3A" w:rsidRPr="002B5B63">
        <w:t>prvom polugodištu 202</w:t>
      </w:r>
      <w:r w:rsidR="002B5B63" w:rsidRPr="002B5B63">
        <w:t>4</w:t>
      </w:r>
      <w:r w:rsidR="006B4F3A" w:rsidRPr="002B5B63">
        <w:t xml:space="preserve">. godine </w:t>
      </w:r>
      <w:r w:rsidR="00C8298A" w:rsidRPr="002B5B63">
        <w:t>realizirani</w:t>
      </w:r>
      <w:r w:rsidR="00580D98" w:rsidRPr="002B5B63">
        <w:t xml:space="preserve"> su</w:t>
      </w:r>
      <w:r w:rsidR="00C8298A" w:rsidRPr="002B5B63">
        <w:t xml:space="preserve"> u iznosu od </w:t>
      </w:r>
      <w:r w:rsidR="002B5B63" w:rsidRPr="002B5B63">
        <w:t>3.225,24</w:t>
      </w:r>
      <w:r w:rsidR="006B4F3A" w:rsidRPr="002B5B63">
        <w:t xml:space="preserve"> eura</w:t>
      </w:r>
      <w:r w:rsidR="00C8298A" w:rsidRPr="002B5B63">
        <w:t>.</w:t>
      </w:r>
    </w:p>
    <w:p w14:paraId="4541424D" w14:textId="77777777" w:rsidR="00E57976" w:rsidRPr="00745B91" w:rsidRDefault="00E57976" w:rsidP="00C47818">
      <w:pPr>
        <w:pStyle w:val="Tijeloteksta"/>
        <w:rPr>
          <w:highlight w:val="yellow"/>
        </w:rPr>
      </w:pPr>
    </w:p>
    <w:p w14:paraId="595B33EA" w14:textId="77777777" w:rsidR="00C47818" w:rsidRDefault="00C47818" w:rsidP="00C8298A">
      <w:pPr>
        <w:pStyle w:val="Tijeloteksta"/>
        <w:spacing w:before="11"/>
        <w:rPr>
          <w:sz w:val="23"/>
        </w:rPr>
      </w:pPr>
    </w:p>
    <w:p w14:paraId="5F405442" w14:textId="078A2286" w:rsidR="00E57976" w:rsidRPr="009D21D5" w:rsidRDefault="00E57976" w:rsidP="00C8298A">
      <w:pPr>
        <w:pStyle w:val="Tijeloteksta"/>
        <w:spacing w:before="11"/>
        <w:rPr>
          <w:b/>
          <w:bCs/>
        </w:rPr>
      </w:pPr>
      <w:r w:rsidRPr="009D21D5">
        <w:rPr>
          <w:b/>
          <w:bCs/>
        </w:rPr>
        <w:t xml:space="preserve">RASHODI </w:t>
      </w:r>
      <w:r w:rsidR="0002712C" w:rsidRPr="009D21D5">
        <w:rPr>
          <w:b/>
          <w:bCs/>
        </w:rPr>
        <w:t xml:space="preserve"> </w:t>
      </w:r>
    </w:p>
    <w:p w14:paraId="41ED4410" w14:textId="77777777" w:rsidR="00E57976" w:rsidRPr="009D21D5" w:rsidRDefault="00E57976" w:rsidP="00C8298A">
      <w:pPr>
        <w:pStyle w:val="Tijeloteksta"/>
        <w:spacing w:before="11"/>
        <w:rPr>
          <w:sz w:val="23"/>
        </w:rPr>
      </w:pPr>
    </w:p>
    <w:p w14:paraId="4658FCB8" w14:textId="6F8D8634" w:rsidR="00C8298A" w:rsidRPr="009D21D5" w:rsidRDefault="00C8298A" w:rsidP="00C47818">
      <w:pPr>
        <w:pStyle w:val="Tijeloteksta"/>
        <w:jc w:val="both"/>
      </w:pPr>
      <w:r w:rsidRPr="009D21D5">
        <w:t xml:space="preserve">Ukupni rashodi poslovanja i rashodi za </w:t>
      </w:r>
      <w:r w:rsidR="009D21D5" w:rsidRPr="009D21D5">
        <w:t xml:space="preserve">nabavu </w:t>
      </w:r>
      <w:r w:rsidRPr="009D21D5">
        <w:t>nefinancijsk</w:t>
      </w:r>
      <w:r w:rsidR="009D21D5" w:rsidRPr="009D21D5">
        <w:t>e</w:t>
      </w:r>
      <w:r w:rsidRPr="009D21D5">
        <w:t xml:space="preserve"> imovin</w:t>
      </w:r>
      <w:r w:rsidR="009D21D5" w:rsidRPr="009D21D5">
        <w:t>e</w:t>
      </w:r>
      <w:r w:rsidRPr="009D21D5">
        <w:t xml:space="preserve"> iznose</w:t>
      </w:r>
      <w:r w:rsidR="009D21D5" w:rsidRPr="009D21D5">
        <w:t xml:space="preserve"> 932.381,19</w:t>
      </w:r>
      <w:r w:rsidRPr="009D21D5">
        <w:t xml:space="preserve"> </w:t>
      </w:r>
      <w:r w:rsidR="008A72A5" w:rsidRPr="009D21D5">
        <w:t xml:space="preserve"> eura</w:t>
      </w:r>
      <w:r w:rsidRPr="009D21D5">
        <w:t>, a sastoje se od rashoda poslovanja u iznosu od</w:t>
      </w:r>
      <w:r w:rsidR="008A72A5" w:rsidRPr="009D21D5">
        <w:t xml:space="preserve"> </w:t>
      </w:r>
      <w:r w:rsidR="009D21D5" w:rsidRPr="009D21D5">
        <w:t>700.309,33</w:t>
      </w:r>
      <w:r w:rsidR="008A72A5" w:rsidRPr="009D21D5">
        <w:t xml:space="preserve"> eura</w:t>
      </w:r>
      <w:r w:rsidRPr="009D21D5">
        <w:t xml:space="preserve">  i rashoda za </w:t>
      </w:r>
      <w:r w:rsidR="008A72A5" w:rsidRPr="009D21D5">
        <w:t xml:space="preserve">nabavu </w:t>
      </w:r>
      <w:r w:rsidRPr="009D21D5">
        <w:t>nefinancijsk</w:t>
      </w:r>
      <w:r w:rsidR="008A72A5" w:rsidRPr="009D21D5">
        <w:t>e</w:t>
      </w:r>
      <w:r w:rsidRPr="009D21D5">
        <w:t xml:space="preserve"> imovin</w:t>
      </w:r>
      <w:r w:rsidR="008A72A5" w:rsidRPr="009D21D5">
        <w:t>e</w:t>
      </w:r>
      <w:r w:rsidRPr="009D21D5">
        <w:t xml:space="preserve"> u iznosu </w:t>
      </w:r>
      <w:r w:rsidR="009647CC" w:rsidRPr="009D21D5">
        <w:t xml:space="preserve">od </w:t>
      </w:r>
      <w:r w:rsidR="009D21D5" w:rsidRPr="009D21D5">
        <w:t>232.071,86</w:t>
      </w:r>
      <w:r w:rsidR="008A72A5" w:rsidRPr="009D21D5">
        <w:t xml:space="preserve"> eura.</w:t>
      </w:r>
      <w:r w:rsidRPr="009D21D5">
        <w:t xml:space="preserve"> </w:t>
      </w:r>
    </w:p>
    <w:p w14:paraId="32BEDE13" w14:textId="77777777" w:rsidR="008A72A5" w:rsidRPr="002B5B63" w:rsidRDefault="008A72A5" w:rsidP="00E57976">
      <w:pPr>
        <w:pStyle w:val="Tijeloteksta"/>
        <w:spacing w:before="45"/>
        <w:ind w:right="969"/>
        <w:jc w:val="both"/>
        <w:rPr>
          <w:spacing w:val="-10"/>
          <w:highlight w:val="yellow"/>
        </w:rPr>
      </w:pPr>
    </w:p>
    <w:p w14:paraId="23E6926B" w14:textId="0B0BD0D2" w:rsidR="008A72A5" w:rsidRPr="009D21D5" w:rsidRDefault="008A72A5" w:rsidP="00E57976">
      <w:pPr>
        <w:pStyle w:val="Tijeloteksta"/>
        <w:spacing w:before="45"/>
        <w:ind w:right="969"/>
        <w:jc w:val="both"/>
        <w:rPr>
          <w:b/>
          <w:bCs/>
          <w:u w:val="single"/>
        </w:rPr>
      </w:pPr>
      <w:r w:rsidRPr="009D21D5">
        <w:rPr>
          <w:b/>
          <w:bCs/>
          <w:spacing w:val="-10"/>
          <w:u w:val="single"/>
        </w:rPr>
        <w:t>Rashodi poslovanja</w:t>
      </w:r>
    </w:p>
    <w:p w14:paraId="5EE3EFB1" w14:textId="77777777" w:rsidR="00C8298A" w:rsidRPr="009D21D5" w:rsidRDefault="00C8298A" w:rsidP="00C8298A">
      <w:pPr>
        <w:pStyle w:val="Tijeloteksta"/>
        <w:spacing w:before="1"/>
      </w:pPr>
    </w:p>
    <w:p w14:paraId="6B6136AF" w14:textId="77777777" w:rsidR="00C8298A" w:rsidRPr="009D21D5" w:rsidRDefault="00C8298A" w:rsidP="00580D98">
      <w:pPr>
        <w:pStyle w:val="Naslov4"/>
        <w:ind w:left="0"/>
      </w:pPr>
      <w:r w:rsidRPr="009D21D5">
        <w:t>Rashodi</w:t>
      </w:r>
      <w:r w:rsidRPr="009D21D5">
        <w:rPr>
          <w:spacing w:val="-3"/>
        </w:rPr>
        <w:t xml:space="preserve"> </w:t>
      </w:r>
      <w:r w:rsidRPr="009D21D5">
        <w:t>za</w:t>
      </w:r>
      <w:r w:rsidRPr="009D21D5">
        <w:rPr>
          <w:spacing w:val="-3"/>
        </w:rPr>
        <w:t xml:space="preserve"> </w:t>
      </w:r>
      <w:r w:rsidRPr="009D21D5">
        <w:rPr>
          <w:spacing w:val="-2"/>
        </w:rPr>
        <w:t>zaposlene</w:t>
      </w:r>
      <w:r w:rsidR="00E43819" w:rsidRPr="009D21D5">
        <w:rPr>
          <w:spacing w:val="-2"/>
        </w:rPr>
        <w:t xml:space="preserve"> (31)</w:t>
      </w:r>
    </w:p>
    <w:p w14:paraId="0B7BCA4B" w14:textId="2EFA8D5B" w:rsidR="00C8298A" w:rsidRPr="009D21D5" w:rsidRDefault="00C8298A" w:rsidP="00C47818">
      <w:pPr>
        <w:pStyle w:val="Tijeloteksta"/>
        <w:jc w:val="both"/>
      </w:pPr>
      <w:r w:rsidRPr="009D21D5">
        <w:t>Rashodi za</w:t>
      </w:r>
      <w:r w:rsidRPr="009D21D5">
        <w:rPr>
          <w:spacing w:val="-1"/>
        </w:rPr>
        <w:t xml:space="preserve"> </w:t>
      </w:r>
      <w:r w:rsidRPr="009D21D5">
        <w:t>zaposlene</w:t>
      </w:r>
      <w:r w:rsidRPr="009D21D5">
        <w:rPr>
          <w:spacing w:val="-1"/>
        </w:rPr>
        <w:t xml:space="preserve"> </w:t>
      </w:r>
      <w:r w:rsidRPr="009D21D5">
        <w:t>realizirani su u</w:t>
      </w:r>
      <w:r w:rsidR="00465CC5" w:rsidRPr="009D21D5">
        <w:t xml:space="preserve"> ukupnom</w:t>
      </w:r>
      <w:r w:rsidRPr="009D21D5">
        <w:t xml:space="preserve"> iznosu</w:t>
      </w:r>
      <w:r w:rsidRPr="009D21D5">
        <w:rPr>
          <w:spacing w:val="-1"/>
        </w:rPr>
        <w:t xml:space="preserve"> </w:t>
      </w:r>
      <w:r w:rsidRPr="009D21D5">
        <w:t xml:space="preserve">od </w:t>
      </w:r>
      <w:r w:rsidR="00594956" w:rsidRPr="009D21D5">
        <w:t>1</w:t>
      </w:r>
      <w:r w:rsidR="009D21D5" w:rsidRPr="009D21D5">
        <w:t>75.165,02</w:t>
      </w:r>
      <w:r w:rsidR="00594956" w:rsidRPr="009D21D5">
        <w:t xml:space="preserve"> eura</w:t>
      </w:r>
      <w:r w:rsidRPr="009D21D5">
        <w:t>, a</w:t>
      </w:r>
      <w:r w:rsidRPr="009D21D5">
        <w:rPr>
          <w:spacing w:val="-1"/>
        </w:rPr>
        <w:t xml:space="preserve"> </w:t>
      </w:r>
      <w:r w:rsidRPr="009D21D5">
        <w:t>odnose</w:t>
      </w:r>
      <w:r w:rsidRPr="009D21D5">
        <w:rPr>
          <w:spacing w:val="-1"/>
        </w:rPr>
        <w:t xml:space="preserve"> </w:t>
      </w:r>
      <w:r w:rsidRPr="009D21D5">
        <w:t>se na rashode za zaposlene u Jedinstvenom upravnom</w:t>
      </w:r>
      <w:r w:rsidR="00465CC5" w:rsidRPr="009D21D5">
        <w:t xml:space="preserve"> odjelu </w:t>
      </w:r>
      <w:r w:rsidR="009D21D5" w:rsidRPr="009D21D5">
        <w:t>94.551,64</w:t>
      </w:r>
      <w:r w:rsidR="00594956" w:rsidRPr="009D21D5">
        <w:t xml:space="preserve"> eura</w:t>
      </w:r>
      <w:r w:rsidRPr="009D21D5">
        <w:t xml:space="preserve">, </w:t>
      </w:r>
      <w:r w:rsidRPr="009D21D5">
        <w:rPr>
          <w:spacing w:val="17"/>
        </w:rPr>
        <w:t xml:space="preserve"> </w:t>
      </w:r>
      <w:r w:rsidRPr="009D21D5">
        <w:t>te</w:t>
      </w:r>
      <w:r w:rsidRPr="009D21D5">
        <w:rPr>
          <w:spacing w:val="16"/>
        </w:rPr>
        <w:t xml:space="preserve"> </w:t>
      </w:r>
      <w:r w:rsidRPr="009D21D5">
        <w:t>plaće</w:t>
      </w:r>
      <w:r w:rsidRPr="009D21D5">
        <w:rPr>
          <w:spacing w:val="16"/>
        </w:rPr>
        <w:t xml:space="preserve"> </w:t>
      </w:r>
      <w:r w:rsidRPr="009D21D5">
        <w:t>zaposlenika</w:t>
      </w:r>
      <w:r w:rsidRPr="009D21D5">
        <w:rPr>
          <w:spacing w:val="17"/>
        </w:rPr>
        <w:t xml:space="preserve"> </w:t>
      </w:r>
      <w:r w:rsidR="003B630F" w:rsidRPr="009D21D5">
        <w:rPr>
          <w:spacing w:val="17"/>
        </w:rPr>
        <w:t xml:space="preserve">u proračunskim korisnicima </w:t>
      </w:r>
      <w:r w:rsidR="003B630F" w:rsidRPr="009D21D5">
        <w:t xml:space="preserve">Općine Sali dječjem vrtiću Orkulice </w:t>
      </w:r>
      <w:r w:rsidR="009D21D5" w:rsidRPr="009D21D5">
        <w:t>68.792,51</w:t>
      </w:r>
      <w:r w:rsidR="00594956" w:rsidRPr="009D21D5">
        <w:t xml:space="preserve"> eura </w:t>
      </w:r>
      <w:r w:rsidR="003B630F" w:rsidRPr="009D21D5">
        <w:t>i Hrvatskoj knjižnici i čitaonici Sali</w:t>
      </w:r>
      <w:r w:rsidR="00594956" w:rsidRPr="009D21D5">
        <w:t xml:space="preserve"> </w:t>
      </w:r>
      <w:r w:rsidR="009D21D5" w:rsidRPr="009D21D5">
        <w:t>11.820,87</w:t>
      </w:r>
      <w:r w:rsidR="00594956" w:rsidRPr="009D21D5">
        <w:t xml:space="preserve"> eura</w:t>
      </w:r>
      <w:r w:rsidR="003B630F" w:rsidRPr="009D21D5">
        <w:t>.</w:t>
      </w:r>
    </w:p>
    <w:p w14:paraId="1F584EAC" w14:textId="77777777" w:rsidR="00C8298A" w:rsidRPr="009D21D5" w:rsidRDefault="00C8298A" w:rsidP="00C47818">
      <w:pPr>
        <w:pStyle w:val="Tijeloteksta"/>
        <w:jc w:val="both"/>
        <w:rPr>
          <w:spacing w:val="-2"/>
        </w:rPr>
      </w:pPr>
      <w:r w:rsidRPr="009D21D5">
        <w:t>Rashodi</w:t>
      </w:r>
      <w:r w:rsidRPr="009D21D5">
        <w:rPr>
          <w:spacing w:val="-6"/>
        </w:rPr>
        <w:t xml:space="preserve"> </w:t>
      </w:r>
      <w:r w:rsidRPr="009D21D5">
        <w:t>za</w:t>
      </w:r>
      <w:r w:rsidRPr="009D21D5">
        <w:rPr>
          <w:spacing w:val="-5"/>
        </w:rPr>
        <w:t xml:space="preserve"> </w:t>
      </w:r>
      <w:r w:rsidRPr="009D21D5">
        <w:t>zaposlene</w:t>
      </w:r>
      <w:r w:rsidRPr="009D21D5">
        <w:rPr>
          <w:spacing w:val="-6"/>
        </w:rPr>
        <w:t xml:space="preserve"> </w:t>
      </w:r>
      <w:r w:rsidRPr="009D21D5">
        <w:t>obuhvaćaju</w:t>
      </w:r>
      <w:r w:rsidRPr="009D21D5">
        <w:rPr>
          <w:spacing w:val="-3"/>
        </w:rPr>
        <w:t xml:space="preserve"> </w:t>
      </w:r>
      <w:r w:rsidRPr="009D21D5">
        <w:t>bruto</w:t>
      </w:r>
      <w:r w:rsidRPr="009D21D5">
        <w:rPr>
          <w:spacing w:val="-4"/>
        </w:rPr>
        <w:t xml:space="preserve"> </w:t>
      </w:r>
      <w:r w:rsidRPr="009D21D5">
        <w:t>plaće,</w:t>
      </w:r>
      <w:r w:rsidRPr="009D21D5">
        <w:rPr>
          <w:spacing w:val="-5"/>
        </w:rPr>
        <w:t xml:space="preserve"> </w:t>
      </w:r>
      <w:r w:rsidRPr="009D21D5">
        <w:t>doprinose</w:t>
      </w:r>
      <w:r w:rsidRPr="009D21D5">
        <w:rPr>
          <w:spacing w:val="-5"/>
        </w:rPr>
        <w:t xml:space="preserve"> </w:t>
      </w:r>
      <w:r w:rsidRPr="009D21D5">
        <w:t>na</w:t>
      </w:r>
      <w:r w:rsidRPr="009D21D5">
        <w:rPr>
          <w:spacing w:val="-6"/>
        </w:rPr>
        <w:t xml:space="preserve"> </w:t>
      </w:r>
      <w:r w:rsidRPr="009D21D5">
        <w:t>plaće</w:t>
      </w:r>
      <w:r w:rsidRPr="009D21D5">
        <w:rPr>
          <w:spacing w:val="-5"/>
        </w:rPr>
        <w:t xml:space="preserve"> </w:t>
      </w:r>
      <w:r w:rsidRPr="009D21D5">
        <w:t>i</w:t>
      </w:r>
      <w:r w:rsidRPr="009D21D5">
        <w:rPr>
          <w:spacing w:val="-3"/>
        </w:rPr>
        <w:t xml:space="preserve"> </w:t>
      </w:r>
      <w:r w:rsidRPr="009D21D5">
        <w:t>ostale</w:t>
      </w:r>
      <w:r w:rsidRPr="009D21D5">
        <w:rPr>
          <w:spacing w:val="-6"/>
        </w:rPr>
        <w:t xml:space="preserve"> </w:t>
      </w:r>
      <w:r w:rsidRPr="009D21D5">
        <w:t>rashode</w:t>
      </w:r>
      <w:r w:rsidRPr="009D21D5">
        <w:rPr>
          <w:spacing w:val="-5"/>
        </w:rPr>
        <w:t xml:space="preserve"> </w:t>
      </w:r>
      <w:r w:rsidRPr="009D21D5">
        <w:t>za</w:t>
      </w:r>
      <w:r w:rsidRPr="009D21D5">
        <w:rPr>
          <w:spacing w:val="-5"/>
        </w:rPr>
        <w:t xml:space="preserve"> </w:t>
      </w:r>
      <w:r w:rsidRPr="009D21D5">
        <w:rPr>
          <w:spacing w:val="-2"/>
        </w:rPr>
        <w:t>zaposlene.</w:t>
      </w:r>
    </w:p>
    <w:p w14:paraId="4BB8BBDB" w14:textId="0BBE671A" w:rsidR="00594956" w:rsidRPr="009D21D5" w:rsidRDefault="00594956" w:rsidP="00C47818">
      <w:pPr>
        <w:pStyle w:val="Tijeloteksta"/>
        <w:jc w:val="both"/>
      </w:pPr>
      <w:bookmarkStart w:id="2" w:name="_Hlk145324159"/>
      <w:r w:rsidRPr="009D21D5">
        <w:t xml:space="preserve">Rashodi za zaposlene ostvareni su za </w:t>
      </w:r>
      <w:r w:rsidR="009D21D5" w:rsidRPr="009D21D5">
        <w:t>14,05</w:t>
      </w:r>
      <w:r w:rsidRPr="009D21D5">
        <w:t xml:space="preserve">% više u odnosu na isto razdoblje prethodne godine, a </w:t>
      </w:r>
      <w:r w:rsidR="009D21D5" w:rsidRPr="009D21D5">
        <w:t>45,83</w:t>
      </w:r>
      <w:r w:rsidRPr="009D21D5">
        <w:t>% od ukupno planiranih za 202</w:t>
      </w:r>
      <w:r w:rsidR="009D21D5" w:rsidRPr="009D21D5">
        <w:t>4</w:t>
      </w:r>
      <w:r w:rsidRPr="009D21D5">
        <w:t>. godinu.</w:t>
      </w:r>
    </w:p>
    <w:bookmarkEnd w:id="2"/>
    <w:p w14:paraId="7499CF75" w14:textId="77777777" w:rsidR="00594956" w:rsidRPr="009D21D5" w:rsidRDefault="00594956" w:rsidP="00580D98">
      <w:pPr>
        <w:pStyle w:val="Tijeloteksta"/>
        <w:jc w:val="both"/>
      </w:pPr>
    </w:p>
    <w:p w14:paraId="19CEEFE2" w14:textId="77777777" w:rsidR="00C8298A" w:rsidRPr="002B5B63" w:rsidRDefault="00C8298A" w:rsidP="00580D98">
      <w:pPr>
        <w:pStyle w:val="Tijeloteksta"/>
        <w:spacing w:before="9"/>
        <w:jc w:val="both"/>
        <w:rPr>
          <w:sz w:val="23"/>
          <w:highlight w:val="yellow"/>
        </w:rPr>
      </w:pPr>
    </w:p>
    <w:p w14:paraId="32D56AF3" w14:textId="77777777" w:rsidR="00C8298A" w:rsidRPr="00D857B2" w:rsidRDefault="00C8298A" w:rsidP="00580D98">
      <w:pPr>
        <w:pStyle w:val="Naslov4"/>
        <w:ind w:left="0"/>
      </w:pPr>
      <w:r w:rsidRPr="00D857B2">
        <w:t>Materijalni</w:t>
      </w:r>
      <w:r w:rsidRPr="00D857B2">
        <w:rPr>
          <w:spacing w:val="-10"/>
        </w:rPr>
        <w:t xml:space="preserve"> </w:t>
      </w:r>
      <w:r w:rsidRPr="00D857B2">
        <w:rPr>
          <w:spacing w:val="-2"/>
        </w:rPr>
        <w:t>rashodi</w:t>
      </w:r>
      <w:r w:rsidR="00E43819" w:rsidRPr="00D857B2">
        <w:rPr>
          <w:spacing w:val="-2"/>
        </w:rPr>
        <w:t xml:space="preserve"> (32)</w:t>
      </w:r>
    </w:p>
    <w:p w14:paraId="4074A872" w14:textId="4693F2B9" w:rsidR="00C8298A" w:rsidRPr="00D857B2" w:rsidRDefault="00C8298A" w:rsidP="00C47818">
      <w:pPr>
        <w:pStyle w:val="Tijeloteksta"/>
        <w:jc w:val="both"/>
      </w:pPr>
      <w:r w:rsidRPr="00D857B2">
        <w:t xml:space="preserve">Materijalni rashodi realizirani su u iznosu od </w:t>
      </w:r>
      <w:r w:rsidR="009D21D5" w:rsidRPr="00D857B2">
        <w:t>364.382,86</w:t>
      </w:r>
      <w:r w:rsidR="00594956" w:rsidRPr="00D857B2">
        <w:t xml:space="preserve"> eura</w:t>
      </w:r>
      <w:r w:rsidRPr="00D857B2">
        <w:t xml:space="preserve">, a odnose se na rashode za izvršavanje programskih aktivnosti i redovno poslovanje </w:t>
      </w:r>
      <w:r w:rsidR="00D857B2" w:rsidRPr="00D857B2">
        <w:t>O</w:t>
      </w:r>
      <w:r w:rsidRPr="00D857B2">
        <w:t>pćin</w:t>
      </w:r>
      <w:r w:rsidR="00D857B2" w:rsidRPr="00D857B2">
        <w:t xml:space="preserve">e Sali, Dječjeg vrtića „Orkulice“ i Hrvatske knjižnice i čitaonice Sali, </w:t>
      </w:r>
      <w:r w:rsidRPr="00D857B2">
        <w:t xml:space="preserve"> čiji </w:t>
      </w:r>
      <w:r w:rsidR="003B630F" w:rsidRPr="00D857B2">
        <w:t>je</w:t>
      </w:r>
      <w:r w:rsidRPr="00D857B2">
        <w:t xml:space="preserve"> prikaz utroška </w:t>
      </w:r>
      <w:r w:rsidR="003B630F" w:rsidRPr="00D857B2">
        <w:t>naveden u</w:t>
      </w:r>
      <w:r w:rsidRPr="00D857B2">
        <w:t xml:space="preserve"> </w:t>
      </w:r>
      <w:r w:rsidR="00594956" w:rsidRPr="00D857B2">
        <w:t xml:space="preserve">izvršenju posebnog </w:t>
      </w:r>
      <w:r w:rsidRPr="00D857B2">
        <w:t>dijel</w:t>
      </w:r>
      <w:r w:rsidR="00594956" w:rsidRPr="00D857B2">
        <w:t>a proračuna</w:t>
      </w:r>
      <w:r w:rsidRPr="00D857B2">
        <w:t xml:space="preserve"> po programskoj klasifikaciji.</w:t>
      </w:r>
    </w:p>
    <w:p w14:paraId="566EF1C8" w14:textId="77777777" w:rsidR="003061BC" w:rsidRPr="002B5B63" w:rsidRDefault="003061BC" w:rsidP="00C47818">
      <w:pPr>
        <w:pStyle w:val="Tijeloteksta"/>
        <w:jc w:val="both"/>
        <w:rPr>
          <w:highlight w:val="yellow"/>
        </w:rPr>
      </w:pPr>
    </w:p>
    <w:p w14:paraId="793E73B9" w14:textId="25751863" w:rsidR="00C8298A" w:rsidRPr="00D857B2" w:rsidRDefault="00C8298A" w:rsidP="00C47818">
      <w:pPr>
        <w:pStyle w:val="Tijeloteksta"/>
        <w:jc w:val="both"/>
      </w:pPr>
      <w:r w:rsidRPr="00D857B2">
        <w:t xml:space="preserve">U strukturi materijalnih rashoda iznos od </w:t>
      </w:r>
      <w:r w:rsidR="00D857B2" w:rsidRPr="00D857B2">
        <w:t>5.579,43</w:t>
      </w:r>
      <w:r w:rsidR="00594956" w:rsidRPr="00D857B2">
        <w:t xml:space="preserve"> eura</w:t>
      </w:r>
      <w:r w:rsidRPr="00D857B2">
        <w:t xml:space="preserve"> odnosi se na </w:t>
      </w:r>
      <w:r w:rsidR="00604630" w:rsidRPr="00D857B2">
        <w:t>n</w:t>
      </w:r>
      <w:r w:rsidRPr="00D857B2">
        <w:t xml:space="preserve">aknade troškova zaposlenika. U ovoj skupini rashoda prikazani su </w:t>
      </w:r>
      <w:r w:rsidR="003B630F" w:rsidRPr="00D857B2">
        <w:t>troškovi</w:t>
      </w:r>
      <w:r w:rsidRPr="00D857B2">
        <w:t xml:space="preserve"> za službena putovanja, naknade za prijevoz na posao i sa posla, stručna usavršavanja zaposlenika i ostale naknade troškova zaposlenima za nositelje izvršne vlasti i službenike</w:t>
      </w:r>
      <w:r w:rsidR="003B630F" w:rsidRPr="00D857B2">
        <w:t xml:space="preserve"> i namještenike</w:t>
      </w:r>
      <w:r w:rsidRPr="00D857B2">
        <w:t xml:space="preserve"> Općine </w:t>
      </w:r>
      <w:r w:rsidR="003B630F" w:rsidRPr="00D857B2">
        <w:t>Sali</w:t>
      </w:r>
      <w:r w:rsidR="00D857B2" w:rsidRPr="00D857B2">
        <w:t xml:space="preserve"> i proračunskih korisnika Općine Sali.</w:t>
      </w:r>
    </w:p>
    <w:p w14:paraId="264CEB60" w14:textId="77777777" w:rsidR="00C47818" w:rsidRPr="00D857B2" w:rsidRDefault="00C47818" w:rsidP="00C47818">
      <w:pPr>
        <w:pStyle w:val="Tijeloteksta"/>
        <w:jc w:val="both"/>
      </w:pPr>
    </w:p>
    <w:p w14:paraId="6BEA79E3" w14:textId="66E33DDD" w:rsidR="003061BC" w:rsidRPr="00D857B2" w:rsidRDefault="00C8298A" w:rsidP="00C47818">
      <w:pPr>
        <w:pStyle w:val="Tijeloteksta"/>
        <w:jc w:val="both"/>
      </w:pPr>
      <w:r w:rsidRPr="00D857B2">
        <w:t xml:space="preserve">Rashodi za materijal i energiju realizirani su u iznosu od </w:t>
      </w:r>
      <w:r w:rsidR="00D857B2" w:rsidRPr="00D857B2">
        <w:t>44.220,15</w:t>
      </w:r>
      <w:r w:rsidR="00604630" w:rsidRPr="00D857B2">
        <w:t xml:space="preserve"> eura</w:t>
      </w:r>
      <w:r w:rsidRPr="00D857B2">
        <w:t>. Unutar skupine utrošena su sredstva za uredski materijal i ostale materijalne rashode, električn</w:t>
      </w:r>
      <w:r w:rsidR="003061BC" w:rsidRPr="00D857B2">
        <w:t>u</w:t>
      </w:r>
      <w:r w:rsidRPr="00D857B2">
        <w:t xml:space="preserve"> energij</w:t>
      </w:r>
      <w:r w:rsidR="003061BC" w:rsidRPr="00D857B2">
        <w:t>u</w:t>
      </w:r>
      <w:r w:rsidRPr="00D857B2">
        <w:t>,</w:t>
      </w:r>
      <w:r w:rsidR="003061BC" w:rsidRPr="00D857B2">
        <w:t xml:space="preserve"> </w:t>
      </w:r>
      <w:r w:rsidRPr="00D857B2">
        <w:t xml:space="preserve">gorivo, </w:t>
      </w:r>
      <w:r w:rsidR="003061BC" w:rsidRPr="00D857B2">
        <w:t>potrošni materijal</w:t>
      </w:r>
      <w:r w:rsidRPr="00D857B2">
        <w:t xml:space="preserve">, materijal za tekuće i investicijsko održavanje građevinskih objekata te postrojenja i opreme, sitni inventar i slično. </w:t>
      </w:r>
    </w:p>
    <w:p w14:paraId="10F6564C" w14:textId="77777777" w:rsidR="00C47818" w:rsidRPr="002B5B63" w:rsidRDefault="00C47818" w:rsidP="00C47818">
      <w:pPr>
        <w:pStyle w:val="Tijeloteksta"/>
        <w:jc w:val="both"/>
        <w:rPr>
          <w:highlight w:val="yellow"/>
        </w:rPr>
      </w:pPr>
    </w:p>
    <w:p w14:paraId="1D52F912" w14:textId="162180D6" w:rsidR="00C8298A" w:rsidRPr="00D857B2" w:rsidRDefault="00C8298A" w:rsidP="00C47818">
      <w:pPr>
        <w:pStyle w:val="Tijeloteksta"/>
        <w:jc w:val="both"/>
      </w:pPr>
      <w:r w:rsidRPr="00D857B2">
        <w:t>Rashodi za us</w:t>
      </w:r>
      <w:r w:rsidR="00604630" w:rsidRPr="00D857B2">
        <w:t xml:space="preserve">luge </w:t>
      </w:r>
      <w:r w:rsidRPr="00D857B2">
        <w:t xml:space="preserve">realizirani su u iznosu od </w:t>
      </w:r>
      <w:r w:rsidR="00D857B2" w:rsidRPr="00D857B2">
        <w:t>291.324,22</w:t>
      </w:r>
      <w:r w:rsidR="00604630" w:rsidRPr="00D857B2">
        <w:t xml:space="preserve"> eura</w:t>
      </w:r>
      <w:r w:rsidRPr="00D857B2">
        <w:t>. Rashodi za usluge odnose se na usluge telefona i pošte, usluge interneta, usluge tekućeg i investicijskog održavanja građevinskih objekata, postrojenja i opreme, usluge za komunikaciju i prijevoz, usluge promidžbe i informiranja, komunalne usluge, deratizacij</w:t>
      </w:r>
      <w:r w:rsidR="003061BC" w:rsidRPr="00D857B2">
        <w:t>u</w:t>
      </w:r>
      <w:r w:rsidRPr="00D857B2">
        <w:t xml:space="preserve"> i dezinsekcij</w:t>
      </w:r>
      <w:r w:rsidR="003061BC" w:rsidRPr="00D857B2">
        <w:t>u</w:t>
      </w:r>
      <w:r w:rsidRPr="00D857B2">
        <w:t>, zdravstvene i veterinarske usluge, usluge odvjetnika i pravnog savjetovanja, računalne i informatičke usluge i ostale intelektualne usluge.</w:t>
      </w:r>
      <w:r w:rsidR="00604630" w:rsidRPr="00D857B2">
        <w:t xml:space="preserve"> Najznačajniji rashod u ovoj podskupini je za </w:t>
      </w:r>
      <w:r w:rsidR="00D857B2" w:rsidRPr="00D857B2">
        <w:t>tekuće i investicijsko održavanje</w:t>
      </w:r>
      <w:r w:rsidR="00D857B2">
        <w:t>:</w:t>
      </w:r>
      <w:r w:rsidR="00D857B2" w:rsidRPr="00D857B2">
        <w:t xml:space="preserve"> cesta i putova, javnih površina, javnih zgrada i ostalo održavanje u iznosu od 241.700,49 eura.</w:t>
      </w:r>
    </w:p>
    <w:p w14:paraId="5BAE9C35" w14:textId="77777777" w:rsidR="00023743" w:rsidRPr="002B5B63" w:rsidRDefault="00023743" w:rsidP="00C47818">
      <w:pPr>
        <w:pStyle w:val="Tijeloteksta"/>
        <w:jc w:val="both"/>
        <w:rPr>
          <w:highlight w:val="yellow"/>
        </w:rPr>
      </w:pPr>
    </w:p>
    <w:p w14:paraId="532F6C6E" w14:textId="0CFDAE90" w:rsidR="00C8298A" w:rsidRPr="006224A9" w:rsidRDefault="00C8298A" w:rsidP="000B43E0">
      <w:pPr>
        <w:pStyle w:val="Tijeloteksta"/>
        <w:jc w:val="both"/>
      </w:pPr>
      <w:r w:rsidRPr="006224A9">
        <w:t xml:space="preserve">Ostali nespomenuti rashodi poslovanja realizirani su u iznosu od </w:t>
      </w:r>
      <w:r w:rsidR="006224A9" w:rsidRPr="006224A9">
        <w:t>23.259,06</w:t>
      </w:r>
      <w:r w:rsidR="00604630" w:rsidRPr="006224A9">
        <w:t xml:space="preserve"> eura</w:t>
      </w:r>
      <w:r w:rsidRPr="006224A9">
        <w:t>,</w:t>
      </w:r>
      <w:r w:rsidR="00604630" w:rsidRPr="006224A9">
        <w:t xml:space="preserve"> a </w:t>
      </w:r>
      <w:r w:rsidR="00023743" w:rsidRPr="006224A9">
        <w:t xml:space="preserve">odnose se na premije osiguranja, reprezentaciju, ostale pristojbe i naknade (najveći iznos je poticajna naknada za odvojeno prikupljanje otpada </w:t>
      </w:r>
      <w:r w:rsidR="004B183E" w:rsidRPr="006224A9">
        <w:t>za 202</w:t>
      </w:r>
      <w:r w:rsidR="006224A9" w:rsidRPr="006224A9">
        <w:t>2</w:t>
      </w:r>
      <w:r w:rsidR="004B183E" w:rsidRPr="006224A9">
        <w:t xml:space="preserve">. godinu </w:t>
      </w:r>
      <w:r w:rsidR="00023743" w:rsidRPr="006224A9">
        <w:t>u iznosu od</w:t>
      </w:r>
      <w:r w:rsidR="006224A9" w:rsidRPr="006224A9">
        <w:t xml:space="preserve"> 13.788,06</w:t>
      </w:r>
      <w:r w:rsidR="004B183E" w:rsidRPr="006224A9">
        <w:t xml:space="preserve"> eura</w:t>
      </w:r>
      <w:r w:rsidR="00023743" w:rsidRPr="006224A9">
        <w:t>)</w:t>
      </w:r>
      <w:r w:rsidRPr="006224A9">
        <w:t>, sudske, administrativne i slične pristojbe, te rashodi protokola.</w:t>
      </w:r>
    </w:p>
    <w:p w14:paraId="4CF86DC1" w14:textId="77777777" w:rsidR="00AB1E0C" w:rsidRPr="002B5B63" w:rsidRDefault="00AB1E0C" w:rsidP="000B43E0">
      <w:pPr>
        <w:pStyle w:val="Tijeloteksta"/>
        <w:jc w:val="both"/>
        <w:rPr>
          <w:highlight w:val="yellow"/>
        </w:rPr>
      </w:pPr>
    </w:p>
    <w:p w14:paraId="1C1019DA" w14:textId="39EFC44B" w:rsidR="00AB1E0C" w:rsidRPr="006224A9" w:rsidRDefault="00AB1E0C" w:rsidP="000B43E0">
      <w:pPr>
        <w:pStyle w:val="Tijeloteksta"/>
        <w:jc w:val="both"/>
      </w:pPr>
      <w:r w:rsidRPr="006224A9">
        <w:t xml:space="preserve">Materijalni rashodi ostvareni su za </w:t>
      </w:r>
      <w:r w:rsidR="006224A9" w:rsidRPr="006224A9">
        <w:t>39,02</w:t>
      </w:r>
      <w:r w:rsidRPr="006224A9">
        <w:t xml:space="preserve">% </w:t>
      </w:r>
      <w:r w:rsidR="006224A9" w:rsidRPr="006224A9">
        <w:t>manje</w:t>
      </w:r>
      <w:r w:rsidRPr="006224A9">
        <w:t xml:space="preserve"> u odnosu na isto razdoblje prethodne godine, a </w:t>
      </w:r>
      <w:r w:rsidR="006224A9" w:rsidRPr="006224A9">
        <w:t>25,41</w:t>
      </w:r>
      <w:r w:rsidRPr="006224A9">
        <w:t>% od ukupno planiranih za 202</w:t>
      </w:r>
      <w:r w:rsidR="006224A9" w:rsidRPr="006224A9">
        <w:t>4</w:t>
      </w:r>
      <w:r w:rsidRPr="006224A9">
        <w:t>. godinu.</w:t>
      </w:r>
    </w:p>
    <w:p w14:paraId="37E1C634" w14:textId="77777777" w:rsidR="00A665FC" w:rsidRPr="002B5B63" w:rsidRDefault="00A665FC" w:rsidP="00580D98">
      <w:pPr>
        <w:pStyle w:val="Naslov4"/>
        <w:spacing w:before="1"/>
        <w:ind w:left="0"/>
        <w:rPr>
          <w:highlight w:val="yellow"/>
        </w:rPr>
      </w:pPr>
    </w:p>
    <w:p w14:paraId="6B7D8F81" w14:textId="77777777" w:rsidR="00C8298A" w:rsidRPr="006224A9" w:rsidRDefault="00C8298A" w:rsidP="00580D98">
      <w:pPr>
        <w:pStyle w:val="Naslov4"/>
        <w:spacing w:before="1"/>
        <w:ind w:left="0"/>
        <w:rPr>
          <w:spacing w:val="-2"/>
        </w:rPr>
      </w:pPr>
      <w:r w:rsidRPr="006224A9">
        <w:t>Financijski</w:t>
      </w:r>
      <w:r w:rsidRPr="006224A9">
        <w:rPr>
          <w:spacing w:val="-10"/>
        </w:rPr>
        <w:t xml:space="preserve"> </w:t>
      </w:r>
      <w:r w:rsidRPr="006224A9">
        <w:rPr>
          <w:spacing w:val="-2"/>
        </w:rPr>
        <w:t>rashodi</w:t>
      </w:r>
      <w:r w:rsidR="00E43819" w:rsidRPr="006224A9">
        <w:rPr>
          <w:spacing w:val="-2"/>
        </w:rPr>
        <w:t xml:space="preserve"> (34)</w:t>
      </w:r>
    </w:p>
    <w:p w14:paraId="4AF7472B" w14:textId="4A584182" w:rsidR="00C8298A" w:rsidRPr="006224A9" w:rsidRDefault="00C8298A" w:rsidP="000B43E0">
      <w:pPr>
        <w:pStyle w:val="Tijeloteksta"/>
        <w:jc w:val="both"/>
      </w:pPr>
      <w:r w:rsidRPr="006224A9">
        <w:t xml:space="preserve">Financijski rashodi realizirani su u iznosu od </w:t>
      </w:r>
      <w:r w:rsidR="006224A9" w:rsidRPr="006224A9">
        <w:t>4.452,69</w:t>
      </w:r>
      <w:r w:rsidR="004B183E" w:rsidRPr="006224A9">
        <w:t xml:space="preserve"> eura</w:t>
      </w:r>
      <w:r w:rsidRPr="006224A9">
        <w:t>. Unutar skupine financijskih rashoda ubrajamo izdatke za kamate za primljenje kredite,</w:t>
      </w:r>
      <w:r w:rsidR="00023743" w:rsidRPr="006224A9">
        <w:t xml:space="preserve"> naknadu porezne uprave,</w:t>
      </w:r>
      <w:r w:rsidRPr="006224A9">
        <w:t xml:space="preserve"> bankarske usluge i usluge platnog prometa.</w:t>
      </w:r>
    </w:p>
    <w:p w14:paraId="3A591B1F" w14:textId="5434B262" w:rsidR="006D4355" w:rsidRPr="006224A9" w:rsidRDefault="006D4355" w:rsidP="000B43E0">
      <w:pPr>
        <w:pStyle w:val="Tijeloteksta"/>
        <w:jc w:val="both"/>
      </w:pPr>
      <w:r w:rsidRPr="006224A9">
        <w:t xml:space="preserve">Financijski rashodi ostvareni su za </w:t>
      </w:r>
      <w:r w:rsidR="006224A9" w:rsidRPr="006224A9">
        <w:t>12,55</w:t>
      </w:r>
      <w:r w:rsidRPr="006224A9">
        <w:t xml:space="preserve">% manje u odnosu na isto razdoblje prethodne godine, a </w:t>
      </w:r>
      <w:r w:rsidR="006224A9" w:rsidRPr="006224A9">
        <w:t>33,73</w:t>
      </w:r>
      <w:r w:rsidRPr="006224A9">
        <w:t>% od ukupno planiranih za 202</w:t>
      </w:r>
      <w:r w:rsidR="006224A9" w:rsidRPr="006224A9">
        <w:t>4</w:t>
      </w:r>
      <w:r w:rsidRPr="006224A9">
        <w:t>. godinu.</w:t>
      </w:r>
    </w:p>
    <w:p w14:paraId="5C476777" w14:textId="77777777" w:rsidR="006D4355" w:rsidRPr="006224A9" w:rsidRDefault="006D4355" w:rsidP="00580D98">
      <w:pPr>
        <w:pStyle w:val="Tijeloteksta"/>
        <w:spacing w:before="2"/>
        <w:jc w:val="both"/>
      </w:pPr>
    </w:p>
    <w:p w14:paraId="30959868" w14:textId="77777777" w:rsidR="00C8298A" w:rsidRPr="006224A9" w:rsidRDefault="00C8298A" w:rsidP="00580D98">
      <w:pPr>
        <w:pStyle w:val="Naslov4"/>
        <w:ind w:left="0"/>
      </w:pPr>
      <w:r w:rsidRPr="006224A9">
        <w:rPr>
          <w:spacing w:val="-2"/>
        </w:rPr>
        <w:t>Subvencije</w:t>
      </w:r>
      <w:r w:rsidR="00E43819" w:rsidRPr="006224A9">
        <w:rPr>
          <w:spacing w:val="-2"/>
        </w:rPr>
        <w:t xml:space="preserve"> (35)</w:t>
      </w:r>
    </w:p>
    <w:p w14:paraId="68F48F90" w14:textId="7F7C816E" w:rsidR="006D4355" w:rsidRPr="00E753DF" w:rsidRDefault="00023743" w:rsidP="006224A9">
      <w:pPr>
        <w:pStyle w:val="Tijeloteksta"/>
        <w:jc w:val="both"/>
      </w:pPr>
      <w:r w:rsidRPr="006224A9">
        <w:t>Rashodi</w:t>
      </w:r>
      <w:r w:rsidR="00C8298A" w:rsidRPr="006224A9">
        <w:t xml:space="preserve"> po ovo</w:t>
      </w:r>
      <w:r w:rsidRPr="006224A9">
        <w:t xml:space="preserve">j skupini </w:t>
      </w:r>
      <w:r w:rsidR="006224A9" w:rsidRPr="006224A9">
        <w:t>u</w:t>
      </w:r>
      <w:r w:rsidR="006224A9">
        <w:t xml:space="preserve"> prvoj polovini 2024. godine nisu realizirani.</w:t>
      </w:r>
    </w:p>
    <w:p w14:paraId="2897335A" w14:textId="77777777" w:rsidR="00C8298A" w:rsidRPr="00A26213" w:rsidRDefault="00C8298A" w:rsidP="00580D98">
      <w:pPr>
        <w:pStyle w:val="Tijeloteksta"/>
        <w:spacing w:before="7"/>
        <w:jc w:val="both"/>
        <w:rPr>
          <w:sz w:val="23"/>
        </w:rPr>
      </w:pPr>
    </w:p>
    <w:p w14:paraId="4B99DD3C" w14:textId="77777777" w:rsidR="00C8298A" w:rsidRPr="004B183E" w:rsidRDefault="00C8298A" w:rsidP="00580D98">
      <w:pPr>
        <w:pStyle w:val="Naslov4"/>
        <w:ind w:left="0"/>
      </w:pPr>
      <w:r w:rsidRPr="004B183E">
        <w:t>Naknade</w:t>
      </w:r>
      <w:r w:rsidRPr="004B183E">
        <w:rPr>
          <w:spacing w:val="-4"/>
        </w:rPr>
        <w:t xml:space="preserve"> </w:t>
      </w:r>
      <w:r w:rsidRPr="004B183E">
        <w:t>građanima</w:t>
      </w:r>
      <w:r w:rsidRPr="004B183E">
        <w:rPr>
          <w:spacing w:val="-2"/>
        </w:rPr>
        <w:t xml:space="preserve"> </w:t>
      </w:r>
      <w:r w:rsidRPr="004B183E">
        <w:t>i</w:t>
      </w:r>
      <w:r w:rsidRPr="004B183E">
        <w:rPr>
          <w:spacing w:val="-3"/>
        </w:rPr>
        <w:t xml:space="preserve"> </w:t>
      </w:r>
      <w:r w:rsidRPr="004B183E">
        <w:t>kućanstvima</w:t>
      </w:r>
      <w:r w:rsidRPr="004B183E">
        <w:rPr>
          <w:spacing w:val="-3"/>
        </w:rPr>
        <w:t xml:space="preserve"> </w:t>
      </w:r>
      <w:r w:rsidRPr="004B183E">
        <w:t>na</w:t>
      </w:r>
      <w:r w:rsidRPr="004B183E">
        <w:rPr>
          <w:spacing w:val="-2"/>
        </w:rPr>
        <w:t xml:space="preserve"> </w:t>
      </w:r>
      <w:r w:rsidRPr="004B183E">
        <w:t>temelju</w:t>
      </w:r>
      <w:r w:rsidRPr="004B183E">
        <w:rPr>
          <w:spacing w:val="-3"/>
        </w:rPr>
        <w:t xml:space="preserve"> </w:t>
      </w:r>
      <w:r w:rsidRPr="004B183E">
        <w:t>osiguranja</w:t>
      </w:r>
      <w:r w:rsidRPr="004B183E">
        <w:rPr>
          <w:spacing w:val="-5"/>
        </w:rPr>
        <w:t xml:space="preserve"> </w:t>
      </w:r>
      <w:r w:rsidRPr="004B183E">
        <w:t>i</w:t>
      </w:r>
      <w:r w:rsidRPr="004B183E">
        <w:rPr>
          <w:spacing w:val="-3"/>
        </w:rPr>
        <w:t xml:space="preserve"> </w:t>
      </w:r>
      <w:r w:rsidRPr="004B183E">
        <w:t>druge</w:t>
      </w:r>
      <w:r w:rsidRPr="004B183E">
        <w:rPr>
          <w:spacing w:val="-3"/>
        </w:rPr>
        <w:t xml:space="preserve"> </w:t>
      </w:r>
      <w:r w:rsidRPr="004B183E">
        <w:rPr>
          <w:spacing w:val="-2"/>
        </w:rPr>
        <w:t>naknade</w:t>
      </w:r>
      <w:r w:rsidR="00E43819" w:rsidRPr="004B183E">
        <w:rPr>
          <w:spacing w:val="-2"/>
        </w:rPr>
        <w:t xml:space="preserve"> (37)</w:t>
      </w:r>
    </w:p>
    <w:p w14:paraId="68C922F5" w14:textId="6FFE7A33" w:rsidR="00C8298A" w:rsidRPr="004B183E" w:rsidRDefault="00C8298A" w:rsidP="000B43E0">
      <w:pPr>
        <w:pStyle w:val="Tijeloteksta"/>
        <w:jc w:val="both"/>
      </w:pPr>
      <w:r w:rsidRPr="004B183E">
        <w:t>Naknade</w:t>
      </w:r>
      <w:r w:rsidRPr="004B183E">
        <w:rPr>
          <w:spacing w:val="-13"/>
        </w:rPr>
        <w:t xml:space="preserve"> </w:t>
      </w:r>
      <w:r w:rsidRPr="004B183E">
        <w:t>građanima</w:t>
      </w:r>
      <w:r w:rsidRPr="004B183E">
        <w:rPr>
          <w:spacing w:val="-15"/>
        </w:rPr>
        <w:t xml:space="preserve"> </w:t>
      </w:r>
      <w:r w:rsidRPr="004B183E">
        <w:t>i</w:t>
      </w:r>
      <w:r w:rsidRPr="004B183E">
        <w:rPr>
          <w:spacing w:val="-14"/>
        </w:rPr>
        <w:t xml:space="preserve"> </w:t>
      </w:r>
      <w:r w:rsidRPr="004B183E">
        <w:t>kućanstvima</w:t>
      </w:r>
      <w:r w:rsidRPr="004B183E">
        <w:rPr>
          <w:spacing w:val="-15"/>
        </w:rPr>
        <w:t xml:space="preserve"> </w:t>
      </w:r>
      <w:r w:rsidRPr="004B183E">
        <w:t>na</w:t>
      </w:r>
      <w:r w:rsidRPr="004B183E">
        <w:rPr>
          <w:spacing w:val="-15"/>
        </w:rPr>
        <w:t xml:space="preserve"> </w:t>
      </w:r>
      <w:r w:rsidRPr="004B183E">
        <w:t>temelju</w:t>
      </w:r>
      <w:r w:rsidRPr="004B183E">
        <w:rPr>
          <w:spacing w:val="-14"/>
        </w:rPr>
        <w:t xml:space="preserve"> </w:t>
      </w:r>
      <w:r w:rsidRPr="004B183E">
        <w:t>osiguranja</w:t>
      </w:r>
      <w:r w:rsidRPr="004B183E">
        <w:rPr>
          <w:spacing w:val="-15"/>
        </w:rPr>
        <w:t xml:space="preserve"> </w:t>
      </w:r>
      <w:r w:rsidRPr="004B183E">
        <w:t>i</w:t>
      </w:r>
      <w:r w:rsidRPr="004B183E">
        <w:rPr>
          <w:spacing w:val="-14"/>
        </w:rPr>
        <w:t xml:space="preserve"> </w:t>
      </w:r>
      <w:r w:rsidRPr="004B183E">
        <w:t>druge</w:t>
      </w:r>
      <w:r w:rsidRPr="004B183E">
        <w:rPr>
          <w:spacing w:val="-15"/>
        </w:rPr>
        <w:t xml:space="preserve"> </w:t>
      </w:r>
      <w:r w:rsidRPr="004B183E">
        <w:t>naknade</w:t>
      </w:r>
      <w:r w:rsidRPr="004B183E">
        <w:rPr>
          <w:spacing w:val="-13"/>
        </w:rPr>
        <w:t xml:space="preserve"> </w:t>
      </w:r>
      <w:r w:rsidRPr="004B183E">
        <w:t>realizirane</w:t>
      </w:r>
      <w:r w:rsidRPr="004B183E">
        <w:rPr>
          <w:spacing w:val="-15"/>
        </w:rPr>
        <w:t xml:space="preserve"> </w:t>
      </w:r>
      <w:r w:rsidRPr="004B183E">
        <w:t>su</w:t>
      </w:r>
      <w:r w:rsidRPr="004B183E">
        <w:rPr>
          <w:spacing w:val="-12"/>
        </w:rPr>
        <w:t xml:space="preserve"> </w:t>
      </w:r>
      <w:r w:rsidRPr="004B183E">
        <w:t xml:space="preserve">u iznosu od </w:t>
      </w:r>
      <w:r w:rsidR="006224A9">
        <w:t>59.214,69</w:t>
      </w:r>
      <w:r w:rsidR="004B183E">
        <w:t xml:space="preserve"> eura i to za:</w:t>
      </w:r>
    </w:p>
    <w:p w14:paraId="7430ED11" w14:textId="2BE96E36" w:rsidR="00C8298A" w:rsidRPr="004B183E" w:rsidRDefault="00C8298A" w:rsidP="000B43E0">
      <w:pPr>
        <w:pStyle w:val="Tijeloteksta"/>
        <w:numPr>
          <w:ilvl w:val="0"/>
          <w:numId w:val="34"/>
        </w:numPr>
        <w:jc w:val="both"/>
      </w:pPr>
      <w:r w:rsidRPr="004B183E">
        <w:t>stipendije</w:t>
      </w:r>
      <w:r w:rsidRPr="004B183E">
        <w:rPr>
          <w:spacing w:val="-3"/>
        </w:rPr>
        <w:t xml:space="preserve"> </w:t>
      </w:r>
      <w:r w:rsidRPr="004B183E">
        <w:t>i</w:t>
      </w:r>
      <w:r w:rsidRPr="004B183E">
        <w:rPr>
          <w:spacing w:val="-2"/>
        </w:rPr>
        <w:t xml:space="preserve"> školarine</w:t>
      </w:r>
      <w:r w:rsidR="004B183E">
        <w:rPr>
          <w:spacing w:val="-2"/>
        </w:rPr>
        <w:t xml:space="preserve"> </w:t>
      </w:r>
      <w:r w:rsidR="00A56FD1">
        <w:rPr>
          <w:spacing w:val="-2"/>
        </w:rPr>
        <w:t>7.824,61</w:t>
      </w:r>
      <w:r w:rsidR="004B183E">
        <w:rPr>
          <w:spacing w:val="-2"/>
        </w:rPr>
        <w:t xml:space="preserve"> eura</w:t>
      </w:r>
      <w:r w:rsidRPr="004B183E">
        <w:rPr>
          <w:spacing w:val="-2"/>
        </w:rPr>
        <w:t>,</w:t>
      </w:r>
    </w:p>
    <w:p w14:paraId="14039D4A" w14:textId="11B6CB41" w:rsidR="00C8298A" w:rsidRPr="004B183E" w:rsidRDefault="00C8298A" w:rsidP="000B43E0">
      <w:pPr>
        <w:pStyle w:val="Tijeloteksta"/>
        <w:numPr>
          <w:ilvl w:val="0"/>
          <w:numId w:val="34"/>
        </w:numPr>
        <w:jc w:val="both"/>
      </w:pPr>
      <w:r w:rsidRPr="004B183E">
        <w:t>rodiljne</w:t>
      </w:r>
      <w:r w:rsidRPr="004B183E">
        <w:rPr>
          <w:spacing w:val="-2"/>
        </w:rPr>
        <w:t xml:space="preserve"> </w:t>
      </w:r>
      <w:r w:rsidRPr="004B183E">
        <w:t>naknade</w:t>
      </w:r>
      <w:r w:rsidRPr="004B183E">
        <w:rPr>
          <w:spacing w:val="-1"/>
        </w:rPr>
        <w:t xml:space="preserve"> </w:t>
      </w:r>
      <w:r w:rsidRPr="004B183E">
        <w:t>i oprema</w:t>
      </w:r>
      <w:r w:rsidRPr="004B183E">
        <w:rPr>
          <w:spacing w:val="-1"/>
        </w:rPr>
        <w:t xml:space="preserve"> </w:t>
      </w:r>
      <w:r w:rsidRPr="004B183E">
        <w:t xml:space="preserve">za </w:t>
      </w:r>
      <w:r w:rsidRPr="004B183E">
        <w:rPr>
          <w:spacing w:val="-2"/>
        </w:rPr>
        <w:t>novorođenčad</w:t>
      </w:r>
      <w:r w:rsidR="004B183E">
        <w:rPr>
          <w:spacing w:val="-2"/>
        </w:rPr>
        <w:t xml:space="preserve"> </w:t>
      </w:r>
      <w:r w:rsidR="00A56FD1">
        <w:rPr>
          <w:spacing w:val="-2"/>
        </w:rPr>
        <w:t>34.507,98</w:t>
      </w:r>
      <w:r w:rsidR="004B183E">
        <w:rPr>
          <w:spacing w:val="-2"/>
        </w:rPr>
        <w:t xml:space="preserve"> eura</w:t>
      </w:r>
      <w:r w:rsidRPr="004B183E">
        <w:rPr>
          <w:spacing w:val="-2"/>
        </w:rPr>
        <w:t>,</w:t>
      </w:r>
    </w:p>
    <w:p w14:paraId="69B5D9F3" w14:textId="7FAEA0DF" w:rsidR="00BD38C4" w:rsidRPr="004B183E" w:rsidRDefault="00BD38C4" w:rsidP="000B43E0">
      <w:pPr>
        <w:pStyle w:val="Tijeloteksta"/>
        <w:numPr>
          <w:ilvl w:val="0"/>
          <w:numId w:val="34"/>
        </w:numPr>
        <w:jc w:val="both"/>
      </w:pPr>
      <w:r w:rsidRPr="004B183E">
        <w:rPr>
          <w:spacing w:val="-2"/>
        </w:rPr>
        <w:t>uskrsnice umirovljenicima</w:t>
      </w:r>
      <w:r w:rsidR="004B183E">
        <w:rPr>
          <w:spacing w:val="-2"/>
        </w:rPr>
        <w:t xml:space="preserve"> </w:t>
      </w:r>
      <w:r w:rsidR="00A56FD1">
        <w:rPr>
          <w:spacing w:val="-2"/>
        </w:rPr>
        <w:t>16.434,00</w:t>
      </w:r>
      <w:r w:rsidR="004B183E">
        <w:rPr>
          <w:spacing w:val="-2"/>
        </w:rPr>
        <w:t xml:space="preserve"> eura</w:t>
      </w:r>
    </w:p>
    <w:p w14:paraId="007736B8" w14:textId="5E079C40" w:rsidR="00C8298A" w:rsidRPr="004B183E" w:rsidRDefault="004B183E" w:rsidP="000B43E0">
      <w:pPr>
        <w:pStyle w:val="Tijeloteksta"/>
        <w:numPr>
          <w:ilvl w:val="0"/>
          <w:numId w:val="34"/>
        </w:numPr>
        <w:jc w:val="both"/>
      </w:pPr>
      <w:r>
        <w:t xml:space="preserve">ostale naknade građanima i kućanstvima </w:t>
      </w:r>
      <w:r w:rsidR="00A56FD1">
        <w:t>448,10</w:t>
      </w:r>
      <w:r>
        <w:t xml:space="preserve"> eura.</w:t>
      </w:r>
    </w:p>
    <w:p w14:paraId="4E93AC84" w14:textId="08EDAA54" w:rsidR="006D4355" w:rsidRPr="006D4355" w:rsidRDefault="006D4355" w:rsidP="000B43E0">
      <w:pPr>
        <w:pStyle w:val="Tijeloteksta"/>
        <w:jc w:val="both"/>
      </w:pPr>
      <w:r w:rsidRPr="006D4355">
        <w:t xml:space="preserve">Rashodi za </w:t>
      </w:r>
      <w:r>
        <w:t>naknade građanima i kućanstvima</w:t>
      </w:r>
      <w:r w:rsidRPr="006D4355">
        <w:t xml:space="preserve"> ostvareni su za </w:t>
      </w:r>
      <w:r w:rsidR="0025091A">
        <w:t>20,33</w:t>
      </w:r>
      <w:r w:rsidRPr="006D4355">
        <w:t xml:space="preserve">% </w:t>
      </w:r>
      <w:r>
        <w:t>manje</w:t>
      </w:r>
      <w:r w:rsidRPr="006D4355">
        <w:t xml:space="preserve"> u odnosu na isto razdoblje prethodne godine, a </w:t>
      </w:r>
      <w:r w:rsidR="0025091A">
        <w:t>34,75</w:t>
      </w:r>
      <w:r w:rsidRPr="006D4355">
        <w:t>% od ukupno planiranih za 202</w:t>
      </w:r>
      <w:r w:rsidR="0025091A">
        <w:t>4</w:t>
      </w:r>
      <w:r w:rsidRPr="006D4355">
        <w:t>. godinu.</w:t>
      </w:r>
    </w:p>
    <w:p w14:paraId="1699F4D2" w14:textId="77777777" w:rsidR="00C8298A" w:rsidRPr="00990F9D" w:rsidRDefault="00C8298A" w:rsidP="00580D98">
      <w:pPr>
        <w:pStyle w:val="Tijeloteksta"/>
        <w:jc w:val="both"/>
        <w:rPr>
          <w:highlight w:val="yellow"/>
        </w:rPr>
      </w:pPr>
    </w:p>
    <w:p w14:paraId="2B51DD07" w14:textId="77777777" w:rsidR="00C8298A" w:rsidRPr="004B183E" w:rsidRDefault="00C8298A" w:rsidP="00580D98">
      <w:pPr>
        <w:pStyle w:val="Naslov4"/>
        <w:ind w:left="0"/>
      </w:pPr>
      <w:r w:rsidRPr="004B183E">
        <w:t>Ostali</w:t>
      </w:r>
      <w:r w:rsidRPr="004B183E">
        <w:rPr>
          <w:spacing w:val="-6"/>
        </w:rPr>
        <w:t xml:space="preserve"> </w:t>
      </w:r>
      <w:r w:rsidRPr="004B183E">
        <w:rPr>
          <w:spacing w:val="-2"/>
        </w:rPr>
        <w:t>rashodi</w:t>
      </w:r>
      <w:r w:rsidR="00E43819" w:rsidRPr="004B183E">
        <w:rPr>
          <w:spacing w:val="-2"/>
        </w:rPr>
        <w:t xml:space="preserve"> (38)</w:t>
      </w:r>
    </w:p>
    <w:p w14:paraId="7E992CFB" w14:textId="07045196" w:rsidR="00C8298A" w:rsidRPr="000B43E0" w:rsidRDefault="00C8298A" w:rsidP="000B43E0">
      <w:pPr>
        <w:pStyle w:val="Tijeloteksta"/>
        <w:jc w:val="both"/>
      </w:pPr>
      <w:r w:rsidRPr="000B43E0">
        <w:t>Ostali rashodi obuhvaćaju tekuće</w:t>
      </w:r>
      <w:r w:rsidR="004B183E" w:rsidRPr="000B43E0">
        <w:t xml:space="preserve"> i kapitalne</w:t>
      </w:r>
      <w:r w:rsidRPr="000B43E0">
        <w:t xml:space="preserve"> donacije</w:t>
      </w:r>
      <w:r w:rsidR="004B183E" w:rsidRPr="000B43E0">
        <w:t xml:space="preserve"> i kapitalne pomoći</w:t>
      </w:r>
      <w:r w:rsidRPr="000B43E0">
        <w:t>. Ostali rashodi realizirani u</w:t>
      </w:r>
      <w:r w:rsidR="004B183E" w:rsidRPr="000B43E0">
        <w:t xml:space="preserve"> prvom polugodištu 202</w:t>
      </w:r>
      <w:r w:rsidR="0025091A">
        <w:t>4</w:t>
      </w:r>
      <w:r w:rsidR="004B183E" w:rsidRPr="000B43E0">
        <w:t>.</w:t>
      </w:r>
      <w:r w:rsidRPr="000B43E0">
        <w:t xml:space="preserve"> godin</w:t>
      </w:r>
      <w:r w:rsidR="004B183E" w:rsidRPr="000B43E0">
        <w:t>e</w:t>
      </w:r>
      <w:r w:rsidRPr="000B43E0">
        <w:t xml:space="preserve"> iznos</w:t>
      </w:r>
      <w:r w:rsidR="00BD38C4" w:rsidRPr="000B43E0">
        <w:t>e</w:t>
      </w:r>
      <w:r w:rsidRPr="000B43E0">
        <w:t xml:space="preserve"> </w:t>
      </w:r>
      <w:r w:rsidR="0025091A">
        <w:t>71.613,12</w:t>
      </w:r>
      <w:r w:rsidR="003F60A4">
        <w:t xml:space="preserve"> eura.</w:t>
      </w:r>
    </w:p>
    <w:p w14:paraId="555F9869" w14:textId="77777777" w:rsidR="00C8298A" w:rsidRPr="000B43E0" w:rsidRDefault="00C8298A" w:rsidP="000B43E0">
      <w:pPr>
        <w:pStyle w:val="Tijeloteksta"/>
        <w:jc w:val="both"/>
      </w:pPr>
    </w:p>
    <w:p w14:paraId="4F66DE78" w14:textId="77777777" w:rsidR="0002712C" w:rsidRPr="004B183E" w:rsidRDefault="00BD38C4" w:rsidP="000B43E0">
      <w:pPr>
        <w:pStyle w:val="Tijeloteksta"/>
        <w:jc w:val="both"/>
      </w:pPr>
      <w:r w:rsidRPr="004B183E">
        <w:t>Tekuće donacije odnose se na:</w:t>
      </w:r>
    </w:p>
    <w:p w14:paraId="387171C5" w14:textId="1A943817" w:rsidR="0002712C" w:rsidRPr="004B183E" w:rsidRDefault="0002712C" w:rsidP="000B43E0">
      <w:pPr>
        <w:pStyle w:val="Tijeloteksta"/>
        <w:numPr>
          <w:ilvl w:val="0"/>
          <w:numId w:val="35"/>
        </w:numPr>
        <w:jc w:val="both"/>
      </w:pPr>
      <w:r w:rsidRPr="004B183E">
        <w:t xml:space="preserve">DVD Sali </w:t>
      </w:r>
      <w:r w:rsidR="003F60A4">
        <w:t>30</w:t>
      </w:r>
      <w:r w:rsidR="0099795B">
        <w:t>.000,00 eura</w:t>
      </w:r>
    </w:p>
    <w:p w14:paraId="732653AD" w14:textId="21A032F7" w:rsidR="00BD38C4" w:rsidRPr="004B183E" w:rsidRDefault="00BD38C4" w:rsidP="000B43E0">
      <w:pPr>
        <w:pStyle w:val="Tijeloteksta"/>
        <w:numPr>
          <w:ilvl w:val="0"/>
          <w:numId w:val="35"/>
        </w:numPr>
        <w:jc w:val="both"/>
      </w:pPr>
      <w:r w:rsidRPr="004B183E">
        <w:t xml:space="preserve">sufinanciranje rada ljekarne u iznosu od </w:t>
      </w:r>
      <w:r w:rsidR="0099795B">
        <w:t>7.963,38</w:t>
      </w:r>
      <w:r w:rsidR="004B183E">
        <w:t xml:space="preserve"> eura</w:t>
      </w:r>
    </w:p>
    <w:p w14:paraId="5FDBF29C" w14:textId="4A76DFA5" w:rsidR="0002712C" w:rsidRPr="0099795B" w:rsidRDefault="0002712C" w:rsidP="000B43E0">
      <w:pPr>
        <w:pStyle w:val="Tijeloteksta"/>
        <w:numPr>
          <w:ilvl w:val="0"/>
          <w:numId w:val="35"/>
        </w:numPr>
        <w:jc w:val="both"/>
      </w:pPr>
      <w:r w:rsidRPr="004B183E">
        <w:t xml:space="preserve">Crveni križ Zadar </w:t>
      </w:r>
      <w:r w:rsidR="003F60A4">
        <w:t>2.547,98</w:t>
      </w:r>
      <w:r w:rsidR="0099795B">
        <w:t xml:space="preserve"> eura</w:t>
      </w:r>
    </w:p>
    <w:p w14:paraId="41564163" w14:textId="0F00F1C9" w:rsidR="0001170D" w:rsidRDefault="006C4388" w:rsidP="000B43E0">
      <w:pPr>
        <w:pStyle w:val="Tijeloteksta"/>
        <w:numPr>
          <w:ilvl w:val="0"/>
          <w:numId w:val="35"/>
        </w:numPr>
        <w:jc w:val="both"/>
      </w:pPr>
      <w:r>
        <w:t>Ostale tekuće donacije (sport, kultura, razvoj civilnog društva, ostalo)</w:t>
      </w:r>
      <w:r w:rsidR="00BD38C4" w:rsidRPr="004B183E">
        <w:t xml:space="preserve"> </w:t>
      </w:r>
      <w:r w:rsidR="0001170D" w:rsidRPr="004B183E">
        <w:t xml:space="preserve"> </w:t>
      </w:r>
      <w:r>
        <w:t>18.668,54</w:t>
      </w:r>
      <w:r w:rsidR="0099795B">
        <w:t xml:space="preserve"> eura</w:t>
      </w:r>
    </w:p>
    <w:p w14:paraId="13B15F76" w14:textId="77777777" w:rsidR="005B6785" w:rsidRDefault="005B6785" w:rsidP="00580D98">
      <w:pPr>
        <w:ind w:right="970"/>
        <w:jc w:val="both"/>
        <w:rPr>
          <w:bCs/>
          <w:iCs/>
          <w:sz w:val="24"/>
        </w:rPr>
      </w:pPr>
    </w:p>
    <w:p w14:paraId="5B694709" w14:textId="6D7FD54D" w:rsidR="00AB1E0C" w:rsidRDefault="00AB1E0C" w:rsidP="000B43E0">
      <w:pPr>
        <w:pStyle w:val="Tijeloteksta"/>
        <w:jc w:val="both"/>
      </w:pPr>
      <w:r>
        <w:t>Kapitalne pomoći odnose se na:</w:t>
      </w:r>
    </w:p>
    <w:p w14:paraId="586459C5" w14:textId="79CABDE8" w:rsidR="00AB1E0C" w:rsidRDefault="00AB1E0C" w:rsidP="000B43E0">
      <w:pPr>
        <w:pStyle w:val="Tijeloteksta"/>
        <w:numPr>
          <w:ilvl w:val="0"/>
          <w:numId w:val="36"/>
        </w:numPr>
        <w:jc w:val="both"/>
      </w:pPr>
      <w:r>
        <w:t xml:space="preserve">pomoć KD Dugi otok i Zverinac d.o.o. za kupnju djelova za desalinizator u iznosu od </w:t>
      </w:r>
      <w:r w:rsidR="006C4388">
        <w:t>7.433,22</w:t>
      </w:r>
      <w:r>
        <w:t xml:space="preserve"> eura</w:t>
      </w:r>
      <w:r w:rsidR="006C4388">
        <w:t xml:space="preserve"> i odvodnju Božava 6.000,00 eura</w:t>
      </w:r>
    </w:p>
    <w:p w14:paraId="680F5D99" w14:textId="77777777" w:rsidR="0099795B" w:rsidRPr="0099795B" w:rsidRDefault="0099795B" w:rsidP="000B43E0">
      <w:pPr>
        <w:pStyle w:val="Tijeloteksta"/>
        <w:jc w:val="both"/>
      </w:pPr>
    </w:p>
    <w:p w14:paraId="055E8C4C" w14:textId="1C789BD5" w:rsidR="006D4355" w:rsidRPr="00E753DF" w:rsidRDefault="006D4355" w:rsidP="000B43E0">
      <w:pPr>
        <w:pStyle w:val="Tijeloteksta"/>
        <w:jc w:val="both"/>
      </w:pPr>
      <w:r>
        <w:t>Ostali rashodi, za pomoći i donacije,</w:t>
      </w:r>
      <w:r w:rsidRPr="00E753DF">
        <w:t xml:space="preserve"> ostvareni su za </w:t>
      </w:r>
      <w:r w:rsidR="006C4388">
        <w:t>20,56</w:t>
      </w:r>
      <w:r w:rsidRPr="00E753DF">
        <w:t xml:space="preserve">% </w:t>
      </w:r>
      <w:r w:rsidR="006C4388">
        <w:t>manje</w:t>
      </w:r>
      <w:r w:rsidRPr="00E753DF">
        <w:t xml:space="preserve"> u odnosu na </w:t>
      </w:r>
      <w:r>
        <w:t xml:space="preserve">isto razdoblje </w:t>
      </w:r>
      <w:r w:rsidRPr="00E753DF">
        <w:t>prethodn</w:t>
      </w:r>
      <w:r>
        <w:t>e</w:t>
      </w:r>
      <w:r w:rsidRPr="00E753DF">
        <w:t xml:space="preserve"> godin</w:t>
      </w:r>
      <w:r>
        <w:t>e</w:t>
      </w:r>
      <w:r w:rsidRPr="00E753DF">
        <w:t xml:space="preserve">, a </w:t>
      </w:r>
      <w:r w:rsidR="006C4388">
        <w:t>28,14</w:t>
      </w:r>
      <w:r w:rsidRPr="00E753DF">
        <w:t>% od ukupno planiranih za 202</w:t>
      </w:r>
      <w:r w:rsidR="006C4388">
        <w:t>4</w:t>
      </w:r>
      <w:r w:rsidRPr="00E753DF">
        <w:t>. godinu.</w:t>
      </w:r>
    </w:p>
    <w:p w14:paraId="0DE81F05" w14:textId="77777777" w:rsidR="006D4355" w:rsidRPr="00990F9D" w:rsidRDefault="006D4355" w:rsidP="00580D98">
      <w:pPr>
        <w:pStyle w:val="Tijeloteksta"/>
        <w:spacing w:before="6"/>
        <w:jc w:val="both"/>
        <w:rPr>
          <w:sz w:val="25"/>
          <w:highlight w:val="yellow"/>
        </w:rPr>
      </w:pPr>
    </w:p>
    <w:p w14:paraId="41280DAB" w14:textId="505EA4D6" w:rsidR="00C8298A" w:rsidRPr="00AB1E0C" w:rsidRDefault="00AB1E0C" w:rsidP="00580D98">
      <w:pPr>
        <w:pStyle w:val="Naslov1"/>
        <w:ind w:left="0"/>
        <w:jc w:val="both"/>
        <w:rPr>
          <w:u w:val="single"/>
        </w:rPr>
      </w:pPr>
      <w:r w:rsidRPr="00AB1E0C">
        <w:rPr>
          <w:u w:val="single"/>
        </w:rPr>
        <w:t>Rashodi</w:t>
      </w:r>
      <w:r w:rsidR="00C8298A" w:rsidRPr="00AB1E0C">
        <w:rPr>
          <w:spacing w:val="-12"/>
          <w:u w:val="single"/>
        </w:rPr>
        <w:t xml:space="preserve"> </w:t>
      </w:r>
      <w:r w:rsidRPr="00AB1E0C">
        <w:rPr>
          <w:u w:val="single"/>
        </w:rPr>
        <w:t>za</w:t>
      </w:r>
      <w:r w:rsidR="00C8298A" w:rsidRPr="00AB1E0C">
        <w:rPr>
          <w:spacing w:val="-9"/>
          <w:u w:val="single"/>
        </w:rPr>
        <w:t xml:space="preserve"> </w:t>
      </w:r>
      <w:r w:rsidRPr="00AB1E0C">
        <w:rPr>
          <w:u w:val="single"/>
        </w:rPr>
        <w:t>nabavu</w:t>
      </w:r>
      <w:r w:rsidR="00C8298A" w:rsidRPr="00AB1E0C">
        <w:rPr>
          <w:spacing w:val="-10"/>
          <w:u w:val="single"/>
        </w:rPr>
        <w:t xml:space="preserve"> </w:t>
      </w:r>
      <w:r w:rsidRPr="00AB1E0C">
        <w:rPr>
          <w:u w:val="single"/>
        </w:rPr>
        <w:t>nefinancijske</w:t>
      </w:r>
      <w:r w:rsidR="00C8298A" w:rsidRPr="00AB1E0C">
        <w:rPr>
          <w:spacing w:val="-9"/>
          <w:u w:val="single"/>
        </w:rPr>
        <w:t xml:space="preserve"> </w:t>
      </w:r>
      <w:r w:rsidRPr="00AB1E0C">
        <w:rPr>
          <w:spacing w:val="-2"/>
          <w:u w:val="single"/>
        </w:rPr>
        <w:t>imovine</w:t>
      </w:r>
    </w:p>
    <w:p w14:paraId="38A13B0E" w14:textId="77777777" w:rsidR="00E0097D" w:rsidRPr="00990F9D" w:rsidRDefault="00E0097D" w:rsidP="00580D98">
      <w:pPr>
        <w:pStyle w:val="Tijeloteksta"/>
        <w:spacing w:before="1"/>
        <w:ind w:left="318" w:right="970"/>
        <w:jc w:val="both"/>
        <w:rPr>
          <w:highlight w:val="yellow"/>
        </w:rPr>
      </w:pPr>
    </w:p>
    <w:p w14:paraId="1C634B13" w14:textId="233564FD" w:rsidR="00C8298A" w:rsidRPr="000B43E0" w:rsidRDefault="00C8298A" w:rsidP="000B43E0">
      <w:pPr>
        <w:pStyle w:val="Tijeloteksta"/>
        <w:jc w:val="both"/>
      </w:pPr>
      <w:r w:rsidRPr="000B43E0">
        <w:t>Rashodi za nabavu nefinancijske imovine realizirani su u iznosu od</w:t>
      </w:r>
      <w:r w:rsidR="006C4388">
        <w:t xml:space="preserve"> 232.071,86</w:t>
      </w:r>
      <w:r w:rsidR="006D4355" w:rsidRPr="000B43E0">
        <w:t xml:space="preserve"> eura</w:t>
      </w:r>
      <w:r w:rsidRPr="000B43E0">
        <w:t>. Rashodi za nabavu nefinancijske imovine</w:t>
      </w:r>
      <w:r w:rsidR="00E0097D" w:rsidRPr="000B43E0">
        <w:t xml:space="preserve"> </w:t>
      </w:r>
      <w:r w:rsidRPr="000B43E0">
        <w:t>obuhvaćaju rashode za nabavu</w:t>
      </w:r>
      <w:r w:rsidR="00E0097D" w:rsidRPr="000B43E0">
        <w:t xml:space="preserve"> </w:t>
      </w:r>
      <w:r w:rsidRPr="000B43E0">
        <w:t xml:space="preserve">proizvedene dugotrajne </w:t>
      </w:r>
      <w:r w:rsidRPr="000B43E0">
        <w:lastRenderedPageBreak/>
        <w:t>imovine i rashode za dodatna ulaganja na građevinskim objektima.</w:t>
      </w:r>
    </w:p>
    <w:p w14:paraId="6D0ABF62" w14:textId="77777777" w:rsidR="00A87913" w:rsidRPr="00990F9D" w:rsidRDefault="00A87913" w:rsidP="00580D98">
      <w:pPr>
        <w:pStyle w:val="Naslov4"/>
        <w:ind w:left="0"/>
        <w:rPr>
          <w:highlight w:val="yellow"/>
        </w:rPr>
      </w:pPr>
    </w:p>
    <w:p w14:paraId="505D04A4" w14:textId="77777777" w:rsidR="00A87913" w:rsidRPr="006D4355" w:rsidRDefault="00A87913" w:rsidP="00580D98">
      <w:pPr>
        <w:pStyle w:val="Naslov4"/>
        <w:ind w:left="0"/>
        <w:rPr>
          <w:b w:val="0"/>
          <w:bCs w:val="0"/>
          <w:i w:val="0"/>
          <w:iCs w:val="0"/>
        </w:rPr>
      </w:pPr>
      <w:r w:rsidRPr="006D4355">
        <w:t>Rashodi za nabavu proizvedene dugotrajne imovine</w:t>
      </w:r>
      <w:r w:rsidRPr="006D4355">
        <w:rPr>
          <w:b w:val="0"/>
          <w:bCs w:val="0"/>
          <w:i w:val="0"/>
          <w:iCs w:val="0"/>
        </w:rPr>
        <w:t xml:space="preserve"> odnose se na nabavu:</w:t>
      </w:r>
    </w:p>
    <w:p w14:paraId="1B87F31A" w14:textId="77777777" w:rsidR="00A34FA9" w:rsidRPr="006D4355" w:rsidRDefault="00A34FA9" w:rsidP="000B43E0">
      <w:pPr>
        <w:pStyle w:val="Tijeloteksta"/>
        <w:jc w:val="both"/>
      </w:pPr>
    </w:p>
    <w:p w14:paraId="33AF2715" w14:textId="24B64756" w:rsidR="00A87913" w:rsidRDefault="00C45DDD" w:rsidP="00465820">
      <w:pPr>
        <w:pStyle w:val="Tijeloteksta"/>
        <w:numPr>
          <w:ilvl w:val="0"/>
          <w:numId w:val="37"/>
        </w:numPr>
        <w:jc w:val="both"/>
      </w:pPr>
      <w:r w:rsidRPr="006D4355">
        <w:t>Nova i dodatna ulaganja u g</w:t>
      </w:r>
      <w:r w:rsidR="00A87913" w:rsidRPr="006D4355">
        <w:t>rađevins</w:t>
      </w:r>
      <w:r w:rsidRPr="006D4355">
        <w:t>ke</w:t>
      </w:r>
      <w:r w:rsidR="00A87913" w:rsidRPr="006D4355">
        <w:t xml:space="preserve"> objek</w:t>
      </w:r>
      <w:r w:rsidRPr="006D4355">
        <w:t xml:space="preserve">te ukupno </w:t>
      </w:r>
      <w:r w:rsidR="006C4388">
        <w:t>222.126,91</w:t>
      </w:r>
      <w:r w:rsidR="00E95C04">
        <w:t xml:space="preserve"> eura</w:t>
      </w:r>
      <w:r w:rsidRPr="006D4355">
        <w:t xml:space="preserve"> i to za </w:t>
      </w:r>
      <w:r w:rsidR="006C4388">
        <w:t>ulaganje u budući komunalni centar</w:t>
      </w:r>
      <w:r w:rsidR="00E95C04">
        <w:t xml:space="preserve">, </w:t>
      </w:r>
      <w:r w:rsidR="001058C4">
        <w:t>rekonstrukciju knjižnice i čitaonice Sali, dodatne radove na sportskom igralištu „Petar Lorini“</w:t>
      </w:r>
      <w:r w:rsidR="005965FB">
        <w:t>;</w:t>
      </w:r>
    </w:p>
    <w:p w14:paraId="6FCAD35A" w14:textId="77777777" w:rsidR="005965FB" w:rsidRPr="006D4355" w:rsidRDefault="005965FB" w:rsidP="005965FB">
      <w:pPr>
        <w:pStyle w:val="Tijeloteksta"/>
        <w:ind w:left="720"/>
        <w:jc w:val="both"/>
      </w:pPr>
    </w:p>
    <w:p w14:paraId="4D1BEF23" w14:textId="2A6F1AE8" w:rsidR="00C45DDD" w:rsidRDefault="00A87913" w:rsidP="00B654B9">
      <w:pPr>
        <w:pStyle w:val="Tijeloteksta"/>
        <w:numPr>
          <w:ilvl w:val="0"/>
          <w:numId w:val="37"/>
        </w:numPr>
        <w:jc w:val="both"/>
      </w:pPr>
      <w:r w:rsidRPr="006D4355">
        <w:t>Postrojenja i oprem</w:t>
      </w:r>
      <w:r w:rsidR="008957E1" w:rsidRPr="006D4355">
        <w:t>e</w:t>
      </w:r>
      <w:r w:rsidR="00C45DDD" w:rsidRPr="006D4355">
        <w:t xml:space="preserve"> ukupno </w:t>
      </w:r>
      <w:r w:rsidR="005965FB">
        <w:t>1.199,78</w:t>
      </w:r>
      <w:r w:rsidR="00E95C04">
        <w:t xml:space="preserve"> eura</w:t>
      </w:r>
      <w:r w:rsidR="005965FB">
        <w:t>;</w:t>
      </w:r>
    </w:p>
    <w:p w14:paraId="2ADB9C24" w14:textId="77777777" w:rsidR="005965FB" w:rsidRPr="006D4355" w:rsidRDefault="005965FB" w:rsidP="005965FB">
      <w:pPr>
        <w:pStyle w:val="Tijeloteksta"/>
        <w:ind w:left="720"/>
        <w:jc w:val="both"/>
      </w:pPr>
    </w:p>
    <w:p w14:paraId="15991A0A" w14:textId="5622C2C9" w:rsidR="008957E1" w:rsidRPr="006D4355" w:rsidRDefault="008957E1" w:rsidP="000B43E0">
      <w:pPr>
        <w:pStyle w:val="Tijeloteksta"/>
        <w:numPr>
          <w:ilvl w:val="0"/>
          <w:numId w:val="37"/>
        </w:numPr>
        <w:jc w:val="both"/>
      </w:pPr>
      <w:r w:rsidRPr="006D4355">
        <w:t>Ostal</w:t>
      </w:r>
      <w:r w:rsidR="00A34FA9" w:rsidRPr="006D4355">
        <w:t>a</w:t>
      </w:r>
      <w:r w:rsidRPr="006D4355">
        <w:t xml:space="preserve"> nematerijlna imovina</w:t>
      </w:r>
      <w:r w:rsidR="00A34FA9" w:rsidRPr="006D4355">
        <w:t xml:space="preserve"> - </w:t>
      </w:r>
      <w:r w:rsidRPr="006D4355">
        <w:t xml:space="preserve">računalni programi </w:t>
      </w:r>
      <w:r w:rsidR="005965FB">
        <w:t>249,00</w:t>
      </w:r>
      <w:r w:rsidR="00E95C04">
        <w:t xml:space="preserve"> eura i prostorno-planska dokumentacija </w:t>
      </w:r>
      <w:r w:rsidR="005965FB">
        <w:t xml:space="preserve">7.875,00 </w:t>
      </w:r>
      <w:r w:rsidR="00B64016">
        <w:t>eura</w:t>
      </w:r>
    </w:p>
    <w:p w14:paraId="64145BCA" w14:textId="77777777" w:rsidR="00B64016" w:rsidRDefault="00B64016" w:rsidP="000B43E0">
      <w:pPr>
        <w:pStyle w:val="Tijeloteksta"/>
        <w:jc w:val="both"/>
      </w:pPr>
    </w:p>
    <w:p w14:paraId="64A564F7" w14:textId="2E50A624" w:rsidR="00B64016" w:rsidRPr="00B64016" w:rsidRDefault="00B64016" w:rsidP="000B43E0">
      <w:pPr>
        <w:pStyle w:val="Tijeloteksta"/>
        <w:jc w:val="both"/>
      </w:pPr>
      <w:r>
        <w:t>Rashodi za nabavu proizvedene dugotrajne imovine</w:t>
      </w:r>
      <w:r w:rsidRPr="00B64016">
        <w:t xml:space="preserve"> ostvareni su za </w:t>
      </w:r>
      <w:r w:rsidR="005965FB">
        <w:t>10,93</w:t>
      </w:r>
      <w:r w:rsidRPr="00B64016">
        <w:t xml:space="preserve">% </w:t>
      </w:r>
      <w:r>
        <w:t>manje</w:t>
      </w:r>
      <w:r w:rsidRPr="00B64016">
        <w:t xml:space="preserve"> u odnosu na isto razdoblje prethodne godine, a </w:t>
      </w:r>
      <w:r w:rsidR="005965FB">
        <w:t>1,25</w:t>
      </w:r>
      <w:r w:rsidRPr="00B64016">
        <w:t>% od ukupno planiranih za 202</w:t>
      </w:r>
      <w:r w:rsidR="005965FB">
        <w:t>4</w:t>
      </w:r>
      <w:r w:rsidRPr="00B64016">
        <w:t>. godinu.</w:t>
      </w:r>
    </w:p>
    <w:p w14:paraId="381F4221" w14:textId="77777777" w:rsidR="00B64016" w:rsidRDefault="00B64016" w:rsidP="00580D98">
      <w:pPr>
        <w:pStyle w:val="Tijeloteksta"/>
        <w:ind w:left="360"/>
        <w:jc w:val="both"/>
        <w:rPr>
          <w:sz w:val="28"/>
          <w:highlight w:val="yellow"/>
        </w:rPr>
      </w:pPr>
    </w:p>
    <w:p w14:paraId="07EA93F4" w14:textId="77777777" w:rsidR="006F043C" w:rsidRPr="00990F9D" w:rsidRDefault="006F043C" w:rsidP="00580D98">
      <w:pPr>
        <w:pStyle w:val="Tijeloteksta"/>
        <w:ind w:left="360"/>
        <w:jc w:val="both"/>
        <w:rPr>
          <w:sz w:val="28"/>
          <w:highlight w:val="yellow"/>
        </w:rPr>
      </w:pPr>
    </w:p>
    <w:p w14:paraId="2D88A902" w14:textId="3A4A3BFA" w:rsidR="00CF573B" w:rsidRDefault="006F043C" w:rsidP="00580D98">
      <w:pPr>
        <w:pStyle w:val="Tijeloteksta"/>
        <w:ind w:right="1058"/>
        <w:jc w:val="both"/>
        <w:rPr>
          <w:b/>
          <w:bCs/>
        </w:rPr>
      </w:pPr>
      <w:r w:rsidRPr="006F043C">
        <w:rPr>
          <w:b/>
          <w:bCs/>
        </w:rPr>
        <w:t>PRIMICI</w:t>
      </w:r>
    </w:p>
    <w:p w14:paraId="0C6C3954" w14:textId="77777777" w:rsidR="006F043C" w:rsidRDefault="006F043C" w:rsidP="00580D98">
      <w:pPr>
        <w:pStyle w:val="Tijeloteksta"/>
        <w:ind w:right="1058"/>
        <w:jc w:val="both"/>
        <w:rPr>
          <w:b/>
          <w:bCs/>
        </w:rPr>
      </w:pPr>
    </w:p>
    <w:p w14:paraId="60CAB904" w14:textId="49B13C11" w:rsidR="006F043C" w:rsidRPr="000B43E0" w:rsidRDefault="006F043C" w:rsidP="000B43E0">
      <w:pPr>
        <w:pStyle w:val="Tijeloteksta"/>
        <w:jc w:val="both"/>
      </w:pPr>
      <w:r w:rsidRPr="000B43E0">
        <w:t>U prvom polugodištu 202</w:t>
      </w:r>
      <w:r w:rsidR="005965FB">
        <w:t>4</w:t>
      </w:r>
      <w:r w:rsidRPr="000B43E0">
        <w:t>. godine nije bilo primitaka od financijsk</w:t>
      </w:r>
      <w:r w:rsidR="005965FB">
        <w:t>e</w:t>
      </w:r>
      <w:r w:rsidRPr="000B43E0">
        <w:t xml:space="preserve"> imovine i zaduživanja.</w:t>
      </w:r>
    </w:p>
    <w:p w14:paraId="614472BB" w14:textId="77777777" w:rsidR="006F043C" w:rsidRDefault="006F043C" w:rsidP="00580D98">
      <w:pPr>
        <w:pStyle w:val="Tijeloteksta"/>
        <w:ind w:right="1058"/>
        <w:jc w:val="both"/>
      </w:pPr>
    </w:p>
    <w:p w14:paraId="7F35E066" w14:textId="77777777" w:rsidR="006F043C" w:rsidRPr="006F043C" w:rsidRDefault="006F043C" w:rsidP="00580D98">
      <w:pPr>
        <w:pStyle w:val="Tijeloteksta"/>
        <w:ind w:right="1058"/>
        <w:jc w:val="both"/>
      </w:pPr>
    </w:p>
    <w:p w14:paraId="6EC86E1E" w14:textId="77777777" w:rsidR="00A87913" w:rsidRPr="00990F9D" w:rsidRDefault="00A87913" w:rsidP="00580D98">
      <w:pPr>
        <w:pStyle w:val="Tijeloteksta"/>
        <w:ind w:right="1058"/>
        <w:jc w:val="both"/>
        <w:rPr>
          <w:highlight w:val="yellow"/>
        </w:rPr>
      </w:pPr>
    </w:p>
    <w:p w14:paraId="1A355E2D" w14:textId="77777777" w:rsidR="00A87913" w:rsidRPr="006F043C" w:rsidRDefault="00E07F26" w:rsidP="00580D98">
      <w:pPr>
        <w:pStyle w:val="Tijeloteksta"/>
        <w:ind w:right="1058"/>
        <w:jc w:val="both"/>
        <w:rPr>
          <w:b/>
          <w:bCs/>
        </w:rPr>
      </w:pPr>
      <w:r w:rsidRPr="006F043C">
        <w:rPr>
          <w:b/>
          <w:bCs/>
        </w:rPr>
        <w:t xml:space="preserve">IZDACI </w:t>
      </w:r>
    </w:p>
    <w:p w14:paraId="0C6A9FC5" w14:textId="77777777" w:rsidR="00A87913" w:rsidRPr="006F043C" w:rsidRDefault="00A87913" w:rsidP="00580D98">
      <w:pPr>
        <w:pStyle w:val="Tijeloteksta"/>
        <w:ind w:right="1058"/>
        <w:jc w:val="both"/>
      </w:pPr>
    </w:p>
    <w:p w14:paraId="717FFD9D" w14:textId="4A015B8B" w:rsidR="00E07F26" w:rsidRPr="000B43E0" w:rsidRDefault="00E07F26" w:rsidP="000B43E0">
      <w:pPr>
        <w:pStyle w:val="Tijeloteksta"/>
        <w:jc w:val="both"/>
      </w:pPr>
      <w:r w:rsidRPr="000B43E0">
        <w:t xml:space="preserve">Izdaci za financijsku imovinu i otplate zajmova </w:t>
      </w:r>
      <w:r w:rsidR="006F043C" w:rsidRPr="000B43E0">
        <w:t xml:space="preserve">ostavereni su u iznosu od </w:t>
      </w:r>
      <w:r w:rsidR="005965FB">
        <w:t>7</w:t>
      </w:r>
      <w:r w:rsidR="006F043C" w:rsidRPr="000B43E0">
        <w:t>4.885,</w:t>
      </w:r>
      <w:r w:rsidR="005965FB">
        <w:t>52</w:t>
      </w:r>
      <w:r w:rsidR="006F043C" w:rsidRPr="000B43E0">
        <w:t xml:space="preserve"> eura, a </w:t>
      </w:r>
      <w:r w:rsidRPr="000B43E0">
        <w:t>odnose se na otplatu dugoročnog kredita</w:t>
      </w:r>
      <w:r w:rsidR="005965FB">
        <w:t xml:space="preserve"> u iznosu od 24.885,52 eura i vraćanje revolving kredita u iznosu od 50.000,00 eura.</w:t>
      </w:r>
    </w:p>
    <w:p w14:paraId="3F61404A" w14:textId="77777777" w:rsidR="00E43819" w:rsidRPr="00990F9D" w:rsidRDefault="00E43819" w:rsidP="00580D98">
      <w:pPr>
        <w:pStyle w:val="Tijeloteksta"/>
        <w:ind w:right="1058"/>
        <w:jc w:val="both"/>
        <w:rPr>
          <w:highlight w:val="yellow"/>
        </w:rPr>
      </w:pPr>
    </w:p>
    <w:p w14:paraId="10EC33F2" w14:textId="77777777" w:rsidR="00E43819" w:rsidRPr="00990F9D" w:rsidRDefault="00E43819" w:rsidP="00580D98">
      <w:pPr>
        <w:pStyle w:val="Tijeloteksta"/>
        <w:ind w:right="1058"/>
        <w:jc w:val="both"/>
        <w:rPr>
          <w:highlight w:val="yellow"/>
        </w:rPr>
      </w:pPr>
    </w:p>
    <w:p w14:paraId="4C6452BC" w14:textId="2886CCE2" w:rsidR="005965FB" w:rsidRPr="00534554" w:rsidRDefault="00E07F26" w:rsidP="005965FB">
      <w:pPr>
        <w:pStyle w:val="Tijeloteksta"/>
        <w:numPr>
          <w:ilvl w:val="0"/>
          <w:numId w:val="28"/>
        </w:numPr>
        <w:ind w:left="360"/>
        <w:jc w:val="both"/>
        <w:rPr>
          <w:sz w:val="20"/>
        </w:rPr>
      </w:pPr>
      <w:r w:rsidRPr="000B43E0">
        <w:t>Na kraju izvještajn</w:t>
      </w:r>
      <w:r w:rsidR="006F043C" w:rsidRPr="000B43E0">
        <w:t xml:space="preserve">og razdoblja </w:t>
      </w:r>
      <w:r w:rsidRPr="000B43E0">
        <w:t xml:space="preserve">ostvaren je </w:t>
      </w:r>
      <w:r w:rsidR="005965FB">
        <w:t>višak</w:t>
      </w:r>
      <w:r w:rsidRPr="000B43E0">
        <w:t xml:space="preserve"> prihoda u iznosu od</w:t>
      </w:r>
      <w:r w:rsidR="006F043C" w:rsidRPr="000B43E0">
        <w:t xml:space="preserve"> </w:t>
      </w:r>
      <w:r w:rsidR="005965FB">
        <w:t>209.686,01</w:t>
      </w:r>
      <w:r w:rsidR="006F043C" w:rsidRPr="000B43E0">
        <w:t xml:space="preserve"> eura </w:t>
      </w:r>
      <w:r w:rsidRPr="000B43E0">
        <w:t>koj</w:t>
      </w:r>
      <w:r w:rsidR="006F043C" w:rsidRPr="000B43E0">
        <w:t>i</w:t>
      </w:r>
      <w:r w:rsidRPr="000B43E0">
        <w:t xml:space="preserve"> </w:t>
      </w:r>
      <w:r w:rsidR="005965FB">
        <w:t xml:space="preserve"> će</w:t>
      </w:r>
      <w:r w:rsidR="00300C40">
        <w:t xml:space="preserve"> se</w:t>
      </w:r>
      <w:r w:rsidR="005965FB">
        <w:t xml:space="preserve"> upotrijebiti za financiranje rashoda  do kraja tekuće godine.</w:t>
      </w:r>
      <w:r w:rsidR="005965FB" w:rsidRPr="00A26213">
        <w:t xml:space="preserve"> </w:t>
      </w:r>
    </w:p>
    <w:p w14:paraId="7C1A2C6C" w14:textId="77777777" w:rsidR="00E07F26" w:rsidRPr="00990F9D" w:rsidRDefault="00E07F26" w:rsidP="00580D98">
      <w:pPr>
        <w:pStyle w:val="Tijeloteksta"/>
        <w:ind w:right="1058"/>
        <w:jc w:val="both"/>
        <w:rPr>
          <w:highlight w:val="yellow"/>
        </w:rPr>
      </w:pPr>
    </w:p>
    <w:p w14:paraId="6166B1AC" w14:textId="77777777" w:rsidR="00A665FC" w:rsidRPr="00990F9D" w:rsidRDefault="00A665FC" w:rsidP="00A87913">
      <w:pPr>
        <w:pStyle w:val="Tijeloteksta"/>
        <w:ind w:right="1058"/>
        <w:rPr>
          <w:highlight w:val="yellow"/>
        </w:rPr>
      </w:pPr>
    </w:p>
    <w:p w14:paraId="3BBB091F" w14:textId="77777777" w:rsidR="00E43819" w:rsidRPr="00300C40" w:rsidRDefault="00E43819" w:rsidP="00A87913">
      <w:pPr>
        <w:pStyle w:val="Tijeloteksta"/>
        <w:ind w:right="1058"/>
        <w:rPr>
          <w:highlight w:val="yellow"/>
        </w:rPr>
      </w:pPr>
    </w:p>
    <w:p w14:paraId="1159CAD9" w14:textId="77777777" w:rsidR="00A34FA9" w:rsidRPr="00300C40" w:rsidRDefault="00A34FA9" w:rsidP="00A87913">
      <w:pPr>
        <w:pStyle w:val="Tijeloteksta"/>
        <w:ind w:right="1058"/>
        <w:rPr>
          <w:highlight w:val="yellow"/>
        </w:rPr>
      </w:pPr>
    </w:p>
    <w:p w14:paraId="5D425A17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36E0F531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641AD397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10002FB3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1C0F2654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4753241D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3DB84A7E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65CCE130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7D313879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7FF2370D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75CBAC04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1FF25F8A" w14:textId="77777777" w:rsidR="00AE5499" w:rsidRDefault="00AE5499" w:rsidP="000B43E0">
      <w:pPr>
        <w:pStyle w:val="Tijeloteksta"/>
        <w:jc w:val="center"/>
        <w:rPr>
          <w:b/>
          <w:bCs/>
          <w:sz w:val="28"/>
          <w:szCs w:val="28"/>
        </w:rPr>
      </w:pPr>
    </w:p>
    <w:p w14:paraId="3CC79F7A" w14:textId="2193034D" w:rsidR="00A34FA9" w:rsidRPr="00AE5499" w:rsidRDefault="00A26213" w:rsidP="000B43E0">
      <w:pPr>
        <w:pStyle w:val="Tijeloteksta"/>
        <w:jc w:val="center"/>
        <w:rPr>
          <w:b/>
          <w:bCs/>
          <w:sz w:val="28"/>
          <w:szCs w:val="28"/>
        </w:rPr>
      </w:pPr>
      <w:r w:rsidRPr="00AE5499">
        <w:rPr>
          <w:b/>
          <w:bCs/>
          <w:sz w:val="28"/>
          <w:szCs w:val="28"/>
        </w:rPr>
        <w:lastRenderedPageBreak/>
        <w:t>POSEBNI IZVJEŠTAJI</w:t>
      </w:r>
    </w:p>
    <w:p w14:paraId="5064925B" w14:textId="77777777" w:rsidR="00A34FA9" w:rsidRPr="00300C40" w:rsidRDefault="00A34FA9" w:rsidP="00A87913">
      <w:pPr>
        <w:pStyle w:val="Tijeloteksta"/>
        <w:ind w:right="1058"/>
        <w:rPr>
          <w:highlight w:val="yellow"/>
        </w:rPr>
      </w:pPr>
    </w:p>
    <w:p w14:paraId="6CBE810D" w14:textId="77777777" w:rsidR="002F060D" w:rsidRPr="00AE5499" w:rsidRDefault="00301F65" w:rsidP="002F060D">
      <w:pPr>
        <w:pStyle w:val="Tijeloteksta"/>
        <w:spacing w:before="215" w:line="276" w:lineRule="auto"/>
        <w:ind w:right="1035"/>
        <w:jc w:val="both"/>
      </w:pPr>
      <w:r w:rsidRPr="00AE5499">
        <w:rPr>
          <w:b/>
          <w:bCs/>
          <w:u w:val="single"/>
        </w:rPr>
        <w:t>IZVJEŠTAJ O KORIŠTENJU PRORAČUNSKE ZALIHE</w:t>
      </w:r>
    </w:p>
    <w:p w14:paraId="40E302D1" w14:textId="77777777" w:rsidR="000B43E0" w:rsidRPr="00AE5499" w:rsidRDefault="000B43E0" w:rsidP="000B43E0">
      <w:pPr>
        <w:pStyle w:val="Tijeloteksta"/>
        <w:jc w:val="both"/>
      </w:pPr>
    </w:p>
    <w:p w14:paraId="6369BD57" w14:textId="611A16A1" w:rsidR="00301F65" w:rsidRPr="00AE5499" w:rsidRDefault="00301F65" w:rsidP="000B43E0">
      <w:pPr>
        <w:pStyle w:val="Tijeloteksta"/>
        <w:jc w:val="both"/>
      </w:pPr>
      <w:r w:rsidRPr="00AE5499">
        <w:t>Sredstva proračunske zalihe koriste se za financiranje rashoda nastalih pri otklanjanju posljedica elementarnih nepogoda, epidemija, ekoloških i ostalih nepredvidivih nesreća odnosno izvanrednih događaja tijekom godine.</w:t>
      </w:r>
    </w:p>
    <w:p w14:paraId="7450F6D4" w14:textId="77777777" w:rsidR="000B43E0" w:rsidRPr="00AE5499" w:rsidRDefault="000B43E0" w:rsidP="000B43E0">
      <w:pPr>
        <w:pStyle w:val="Tijeloteksta"/>
        <w:jc w:val="both"/>
      </w:pPr>
    </w:p>
    <w:p w14:paraId="710A11F0" w14:textId="6FB92BF5" w:rsidR="00DC5D4A" w:rsidRPr="00AE5499" w:rsidRDefault="00301F65" w:rsidP="000B43E0">
      <w:pPr>
        <w:pStyle w:val="Tijeloteksta"/>
        <w:jc w:val="both"/>
      </w:pPr>
      <w:r w:rsidRPr="00AE5499">
        <w:t xml:space="preserve">U </w:t>
      </w:r>
      <w:r w:rsidR="006F043C" w:rsidRPr="00AE5499">
        <w:t>prvom polugodištu 202</w:t>
      </w:r>
      <w:r w:rsidR="00AE5499" w:rsidRPr="00AE5499">
        <w:t>4</w:t>
      </w:r>
      <w:r w:rsidR="006F043C" w:rsidRPr="00AE5499">
        <w:t>. godine</w:t>
      </w:r>
      <w:r w:rsidRPr="00AE5499">
        <w:t xml:space="preserve"> nisu korištena sredstva proračunske zalihe.</w:t>
      </w:r>
    </w:p>
    <w:p w14:paraId="3B2E8EA2" w14:textId="77777777" w:rsidR="000B43E0" w:rsidRPr="00300C40" w:rsidRDefault="000B43E0" w:rsidP="000B43E0">
      <w:pPr>
        <w:pStyle w:val="Tijeloteksta"/>
        <w:jc w:val="both"/>
        <w:rPr>
          <w:highlight w:val="yellow"/>
        </w:rPr>
      </w:pPr>
    </w:p>
    <w:p w14:paraId="1FFB16F5" w14:textId="77777777" w:rsidR="00DC5D4A" w:rsidRPr="00AE5499" w:rsidRDefault="00DC5D4A" w:rsidP="002F060D">
      <w:pPr>
        <w:pStyle w:val="Tijeloteksta"/>
        <w:spacing w:before="215" w:line="276" w:lineRule="auto"/>
        <w:ind w:right="1035"/>
        <w:jc w:val="both"/>
      </w:pPr>
      <w:r w:rsidRPr="00AE5499">
        <w:rPr>
          <w:b/>
          <w:bCs/>
          <w:u w:val="single"/>
        </w:rPr>
        <w:t>IZVJEŠTAJ O KORIŠTENJU SREDSTAVA FONDOVA EUROPSKE UNIJE</w:t>
      </w:r>
    </w:p>
    <w:p w14:paraId="7F8ECCEA" w14:textId="77777777" w:rsidR="00B6133E" w:rsidRPr="00B6133E" w:rsidRDefault="00B6133E" w:rsidP="00B6133E">
      <w:pPr>
        <w:pStyle w:val="Tijeloteksta"/>
        <w:spacing w:line="276" w:lineRule="auto"/>
        <w:jc w:val="both"/>
      </w:pPr>
    </w:p>
    <w:p w14:paraId="7EAC65DB" w14:textId="556E9B21" w:rsidR="00DC5D4A" w:rsidRPr="00300C40" w:rsidRDefault="00DC5D4A" w:rsidP="00B6133E">
      <w:pPr>
        <w:pStyle w:val="Tijeloteksta"/>
        <w:spacing w:line="276" w:lineRule="auto"/>
        <w:jc w:val="both"/>
        <w:rPr>
          <w:highlight w:val="yellow"/>
        </w:rPr>
      </w:pPr>
      <w:r w:rsidRPr="00B6133E">
        <w:t>U 202</w:t>
      </w:r>
      <w:r w:rsidR="00AE5499" w:rsidRPr="00B6133E">
        <w:t>4</w:t>
      </w:r>
      <w:r w:rsidRPr="00B6133E">
        <w:t>. godini</w:t>
      </w:r>
      <w:r w:rsidR="008257F3" w:rsidRPr="00B6133E">
        <w:t xml:space="preserve"> </w:t>
      </w:r>
      <w:r w:rsidRPr="00B6133E">
        <w:t>temeljem prijenosa sredstava iz fondova EU</w:t>
      </w:r>
      <w:r w:rsidR="00AE5499" w:rsidRPr="00B6133E">
        <w:t xml:space="preserve"> uplaćena su sredstva za </w:t>
      </w:r>
      <w:r w:rsidR="00AE5499">
        <w:t>u iznosu od 233</w:t>
      </w:r>
      <w:r w:rsidR="00B6133E">
        <w:t>.</w:t>
      </w:r>
      <w:r w:rsidR="00AE5499">
        <w:t xml:space="preserve">668,34 eura i to za dječje igralište Božava 35.358,34 eura i za sportsko igralište „Petar Lorini“ 198.310,00 eura. </w:t>
      </w:r>
      <w:r w:rsidR="00B6133E">
        <w:t>Navedeni</w:t>
      </w:r>
      <w:r w:rsidR="00AE5499">
        <w:t xml:space="preserve"> projekti </w:t>
      </w:r>
      <w:r w:rsidR="00B6133E">
        <w:t xml:space="preserve">završeni </w:t>
      </w:r>
      <w:r w:rsidR="00AE5499">
        <w:t xml:space="preserve">su </w:t>
      </w:r>
      <w:r w:rsidR="00B6133E">
        <w:t>i već</w:t>
      </w:r>
      <w:r w:rsidR="00AE5499">
        <w:t xml:space="preserve"> plaćeni</w:t>
      </w:r>
      <w:r w:rsidR="00B6133E">
        <w:t xml:space="preserve"> u 2023. godini</w:t>
      </w:r>
      <w:r w:rsidR="00AE5499">
        <w:t xml:space="preserve"> iz vlasitih sredstva ili revolving kredita pa će se dobivena sredstva utrošiti za vraćanje kredita i neku drugu nvesticiju.</w:t>
      </w:r>
    </w:p>
    <w:p w14:paraId="5B79EA59" w14:textId="77777777" w:rsidR="00301F65" w:rsidRPr="00B6133E" w:rsidRDefault="00301F65" w:rsidP="002F060D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 w:rsidRPr="00B6133E">
        <w:rPr>
          <w:b/>
          <w:bCs/>
          <w:u w:val="single"/>
        </w:rPr>
        <w:t>IZVJEŠTAJ O ZADUŽIVANJU NA DOMAĆEM I STRANOM TRŽIŠTU NOVCA I KAPITALA</w:t>
      </w:r>
    </w:p>
    <w:p w14:paraId="6F2046C6" w14:textId="77777777" w:rsidR="006B6510" w:rsidRPr="00300C40" w:rsidRDefault="006B6510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highlight w:val="yellow"/>
        </w:rPr>
      </w:pPr>
    </w:p>
    <w:p w14:paraId="44481017" w14:textId="77777777" w:rsidR="004521AA" w:rsidRPr="00A07A86" w:rsidRDefault="00301F65" w:rsidP="006B651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 w:rsidRPr="00A07A86">
        <w:rPr>
          <w:b/>
          <w:bCs/>
          <w:i/>
          <w:iCs/>
        </w:rPr>
        <w:t>Dugoročni kredit</w:t>
      </w:r>
    </w:p>
    <w:p w14:paraId="1B9E2D6E" w14:textId="315283CA" w:rsidR="00301F65" w:rsidRPr="00A07A86" w:rsidRDefault="00301F65" w:rsidP="000B43E0">
      <w:pPr>
        <w:pStyle w:val="Tijeloteksta"/>
        <w:jc w:val="both"/>
      </w:pPr>
      <w:r w:rsidRPr="00A07A86">
        <w:t>U 2017. godini podignut je dugoročni investicijski kredit u iznosu od 3.000.000,00 kuna</w:t>
      </w:r>
      <w:r w:rsidR="008257F3" w:rsidRPr="00A07A86">
        <w:t xml:space="preserve">, odnosno 398.168,43 eura, </w:t>
      </w:r>
      <w:r w:rsidRPr="00A07A86">
        <w:t xml:space="preserve"> za financiranje sanacije i rekonstrukcije porta u Salima – II. faza. </w:t>
      </w:r>
      <w:r w:rsidR="006B6510" w:rsidRPr="00A07A86">
        <w:t>Kredit je na rok od 8 godina a otplaćuje se tromjesečno (glavnica</w:t>
      </w:r>
      <w:r w:rsidR="008257F3" w:rsidRPr="00A07A86">
        <w:t xml:space="preserve"> 12.447,41 eura </w:t>
      </w:r>
      <w:r w:rsidR="006B6510" w:rsidRPr="00A07A86">
        <w:t>+ pripadajuća kamata 2,5%). Početak plaćanja je bio 31.12.2017. godine a do 3</w:t>
      </w:r>
      <w:r w:rsidR="008257F3" w:rsidRPr="00A07A86">
        <w:t>0</w:t>
      </w:r>
      <w:r w:rsidR="006B6510" w:rsidRPr="00A07A86">
        <w:t>.</w:t>
      </w:r>
      <w:r w:rsidR="008257F3" w:rsidRPr="00A07A86">
        <w:t>06</w:t>
      </w:r>
      <w:r w:rsidR="006B6510" w:rsidRPr="00A07A86">
        <w:t>.202</w:t>
      </w:r>
      <w:r w:rsidR="00B6133E" w:rsidRPr="00A07A86">
        <w:t>4</w:t>
      </w:r>
      <w:r w:rsidR="006B6510" w:rsidRPr="00A07A86">
        <w:t>. godine ukupno je podmireno</w:t>
      </w:r>
      <w:r w:rsidR="008257F3" w:rsidRPr="00A07A86">
        <w:t xml:space="preserve"> </w:t>
      </w:r>
      <w:r w:rsidR="00B6133E" w:rsidRPr="00A07A86">
        <w:t>335.954,52</w:t>
      </w:r>
      <w:r w:rsidR="008257F3" w:rsidRPr="00A07A86">
        <w:t xml:space="preserve"> eura,</w:t>
      </w:r>
      <w:r w:rsidR="006B6510" w:rsidRPr="00A07A86">
        <w:t xml:space="preserve"> te je ot</w:t>
      </w:r>
      <w:r w:rsidR="008257F3" w:rsidRPr="00A07A86">
        <w:t>vo</w:t>
      </w:r>
      <w:r w:rsidR="006B6510" w:rsidRPr="00A07A86">
        <w:t xml:space="preserve">rena obveza za kredit na </w:t>
      </w:r>
      <w:r w:rsidR="008257F3" w:rsidRPr="00A07A86">
        <w:t xml:space="preserve">dan </w:t>
      </w:r>
      <w:r w:rsidR="006B6510" w:rsidRPr="00A07A86">
        <w:t>3</w:t>
      </w:r>
      <w:r w:rsidR="008257F3" w:rsidRPr="00A07A86">
        <w:t>0</w:t>
      </w:r>
      <w:r w:rsidR="006B6510" w:rsidRPr="00A07A86">
        <w:t>.</w:t>
      </w:r>
      <w:r w:rsidR="008257F3" w:rsidRPr="00A07A86">
        <w:t>06</w:t>
      </w:r>
      <w:r w:rsidR="006B6510" w:rsidRPr="00A07A86">
        <w:t>.202</w:t>
      </w:r>
      <w:r w:rsidR="00B6133E" w:rsidRPr="00A07A86">
        <w:t>4</w:t>
      </w:r>
      <w:r w:rsidR="006B6510" w:rsidRPr="00A07A86">
        <w:t xml:space="preserve">. </w:t>
      </w:r>
      <w:r w:rsidR="008257F3" w:rsidRPr="00A07A86">
        <w:t xml:space="preserve"> u iznosu od </w:t>
      </w:r>
      <w:r w:rsidR="00B6133E" w:rsidRPr="00A07A86">
        <w:t>62.213,91</w:t>
      </w:r>
      <w:r w:rsidR="008257F3" w:rsidRPr="00A07A86">
        <w:t xml:space="preserve"> eura</w:t>
      </w:r>
      <w:r w:rsidR="006B6510" w:rsidRPr="00A07A86">
        <w:t>.</w:t>
      </w:r>
    </w:p>
    <w:p w14:paraId="565ABCFC" w14:textId="77777777" w:rsidR="003E0493" w:rsidRPr="00300C40" w:rsidRDefault="003E0493" w:rsidP="006B6510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7210E736" w14:textId="77777777" w:rsidR="006B6510" w:rsidRPr="00A07A86" w:rsidRDefault="006B6510" w:rsidP="006B6510">
      <w:pPr>
        <w:pStyle w:val="Tijeloteksta"/>
        <w:spacing w:line="276" w:lineRule="auto"/>
        <w:ind w:right="1035"/>
        <w:jc w:val="both"/>
      </w:pPr>
      <w:r w:rsidRPr="00A07A86">
        <w:rPr>
          <w:b/>
          <w:bCs/>
          <w:i/>
          <w:iCs/>
        </w:rPr>
        <w:t>Revolving kredit</w:t>
      </w:r>
    </w:p>
    <w:p w14:paraId="0D82F064" w14:textId="5F94691E" w:rsidR="00780574" w:rsidRPr="00A07A86" w:rsidRDefault="006B6510" w:rsidP="000B43E0">
      <w:pPr>
        <w:pStyle w:val="Tijeloteksta"/>
        <w:jc w:val="both"/>
      </w:pPr>
      <w:r w:rsidRPr="00A07A86">
        <w:t xml:space="preserve">Radi plaćanja obveza po projektima za kojih su dobivena sredstva potpora ali koja se refundiraju tek nakon završetka projekta, od poslovne banke se zatražio i </w:t>
      </w:r>
      <w:r w:rsidR="00780574" w:rsidRPr="00A07A86">
        <w:t>odobren je</w:t>
      </w:r>
      <w:r w:rsidRPr="00A07A86">
        <w:t xml:space="preserve"> revolving kredit</w:t>
      </w:r>
      <w:r w:rsidR="00780574" w:rsidRPr="00A07A86">
        <w:t>. U 202</w:t>
      </w:r>
      <w:r w:rsidR="00A07A86" w:rsidRPr="00A07A86">
        <w:t>4.</w:t>
      </w:r>
      <w:r w:rsidR="00780574" w:rsidRPr="00A07A86">
        <w:t xml:space="preserve"> godini kredit nije korišten</w:t>
      </w:r>
      <w:r w:rsidR="00A07A86" w:rsidRPr="00A07A86">
        <w:t xml:space="preserve"> a do 30.06.2024. godine je uplaćeno 50.000,00 eura čime je podmirena kompletna obveza za kredit.</w:t>
      </w:r>
    </w:p>
    <w:p w14:paraId="67CDEC86" w14:textId="77777777" w:rsidR="00780574" w:rsidRPr="00A07A86" w:rsidRDefault="00780574" w:rsidP="006B651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61F7B1B6" w14:textId="77777777" w:rsidR="00780574" w:rsidRPr="00A07A86" w:rsidRDefault="00780574" w:rsidP="006B6510">
      <w:pPr>
        <w:pStyle w:val="Tijeloteksta"/>
        <w:spacing w:line="276" w:lineRule="auto"/>
        <w:ind w:right="1035"/>
        <w:jc w:val="both"/>
      </w:pPr>
      <w:r w:rsidRPr="00A07A86">
        <w:rPr>
          <w:b/>
          <w:bCs/>
          <w:i/>
          <w:iCs/>
        </w:rPr>
        <w:t>Kratkoročna pozajmica</w:t>
      </w:r>
    </w:p>
    <w:p w14:paraId="76697592" w14:textId="4504F8CD" w:rsidR="00780574" w:rsidRPr="00A07A86" w:rsidRDefault="00780574" w:rsidP="000B43E0">
      <w:pPr>
        <w:pStyle w:val="Tijeloteksta"/>
        <w:jc w:val="both"/>
      </w:pPr>
      <w:r w:rsidRPr="00A07A86">
        <w:t>Od poslovne banke odobreno je korištenje minus</w:t>
      </w:r>
      <w:r w:rsidR="00B74A13" w:rsidRPr="00A07A86">
        <w:t>a</w:t>
      </w:r>
      <w:r w:rsidRPr="00A07A86">
        <w:t xml:space="preserve"> po računu do iznosa </w:t>
      </w:r>
      <w:r w:rsidR="00B74A13" w:rsidRPr="00A07A86">
        <w:t>66.000,00 eura</w:t>
      </w:r>
      <w:r w:rsidRPr="00A07A86">
        <w:t>. U 202</w:t>
      </w:r>
      <w:r w:rsidR="00A07A86" w:rsidRPr="00A07A86">
        <w:t>4</w:t>
      </w:r>
      <w:r w:rsidRPr="00A07A86">
        <w:t>. godini do 30.06.</w:t>
      </w:r>
      <w:r w:rsidR="00A07A86" w:rsidRPr="00A07A86">
        <w:t xml:space="preserve"> nije</w:t>
      </w:r>
      <w:r w:rsidRPr="00A07A86">
        <w:t xml:space="preserve"> korišten  minus</w:t>
      </w:r>
      <w:r w:rsidR="00A07A86" w:rsidRPr="00A07A86">
        <w:t>.</w:t>
      </w:r>
      <w:r w:rsidRPr="00A07A86">
        <w:t xml:space="preserve"> </w:t>
      </w:r>
    </w:p>
    <w:p w14:paraId="46D055CE" w14:textId="77777777" w:rsidR="00301F65" w:rsidRPr="00A07A86" w:rsidRDefault="00301F65" w:rsidP="000B43E0">
      <w:pPr>
        <w:pStyle w:val="Tijeloteksta"/>
        <w:jc w:val="both"/>
      </w:pPr>
    </w:p>
    <w:p w14:paraId="41788BBD" w14:textId="77777777" w:rsidR="003E0493" w:rsidRPr="00300C40" w:rsidRDefault="003E0493" w:rsidP="006B6510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4895AB93" w14:textId="77777777" w:rsidR="004521AA" w:rsidRPr="00A07A86" w:rsidRDefault="00780574" w:rsidP="000B43E0">
      <w:pPr>
        <w:pStyle w:val="Tijeloteksta"/>
        <w:rPr>
          <w:b/>
          <w:bCs/>
          <w:u w:val="single"/>
        </w:rPr>
      </w:pPr>
      <w:r w:rsidRPr="00A07A86">
        <w:rPr>
          <w:b/>
          <w:bCs/>
          <w:u w:val="single"/>
        </w:rPr>
        <w:t xml:space="preserve">IZVJEŠTAJ O DANIM </w:t>
      </w:r>
      <w:r w:rsidR="00DC5D4A" w:rsidRPr="00A07A86">
        <w:rPr>
          <w:b/>
          <w:bCs/>
          <w:u w:val="single"/>
        </w:rPr>
        <w:t>ZAJMOVIMA I POTRAŽIVANJIMA PO DANIM ZAJMOVIMA</w:t>
      </w:r>
    </w:p>
    <w:p w14:paraId="17E93499" w14:textId="77777777" w:rsidR="000B43E0" w:rsidRPr="00A07A86" w:rsidRDefault="000B43E0" w:rsidP="000B43E0">
      <w:pPr>
        <w:pStyle w:val="Tijeloteksta"/>
        <w:jc w:val="both"/>
      </w:pPr>
    </w:p>
    <w:p w14:paraId="30E3FF0B" w14:textId="537B290C" w:rsidR="00DC5D4A" w:rsidRPr="00A07A86" w:rsidRDefault="00DC5D4A" w:rsidP="000B43E0">
      <w:pPr>
        <w:pStyle w:val="Tijeloteksta"/>
        <w:jc w:val="both"/>
      </w:pPr>
      <w:r w:rsidRPr="00A07A86">
        <w:t>U 202</w:t>
      </w:r>
      <w:r w:rsidR="00A07A86" w:rsidRPr="00A07A86">
        <w:t>4</w:t>
      </w:r>
      <w:r w:rsidRPr="00A07A86">
        <w:t>. godini Općina Sali nije davala zajmove niti ima otvorenih potraživanja po osnovi zajmova.</w:t>
      </w:r>
    </w:p>
    <w:p w14:paraId="5126A991" w14:textId="77777777" w:rsidR="00A665FC" w:rsidRPr="00300C40" w:rsidRDefault="00A665FC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5343FD69" w14:textId="77777777" w:rsidR="00AD1907" w:rsidRPr="00A07A86" w:rsidRDefault="00AD1907" w:rsidP="002F060D">
      <w:pPr>
        <w:pStyle w:val="Tijeloteksta"/>
        <w:spacing w:before="215" w:line="276" w:lineRule="auto"/>
        <w:ind w:right="1035"/>
        <w:jc w:val="both"/>
      </w:pPr>
      <w:r w:rsidRPr="00A07A86">
        <w:rPr>
          <w:b/>
          <w:bCs/>
          <w:u w:val="single"/>
        </w:rPr>
        <w:t>IZVJEŠTAJ O DANIM JAMSTVIMA I PLAĆANJIMA PO PROTESTIRANIM JAMSTVIMA</w:t>
      </w:r>
    </w:p>
    <w:p w14:paraId="725D87E6" w14:textId="2D16E8C9" w:rsidR="00AD1907" w:rsidRPr="00A07A86" w:rsidRDefault="00AD1907" w:rsidP="000B43E0">
      <w:pPr>
        <w:pStyle w:val="Tijeloteksta"/>
        <w:jc w:val="both"/>
      </w:pPr>
      <w:r w:rsidRPr="00A07A86">
        <w:t>U 202</w:t>
      </w:r>
      <w:r w:rsidR="00A07A86" w:rsidRPr="00A07A86">
        <w:t>4</w:t>
      </w:r>
      <w:r w:rsidRPr="00A07A86">
        <w:t>. godini Općina Sali nije davala jamstva niti je imala plaćanja po protestiranim jamstvima.</w:t>
      </w:r>
    </w:p>
    <w:p w14:paraId="09336BD5" w14:textId="77777777" w:rsidR="00AD1907" w:rsidRPr="00300C40" w:rsidRDefault="00AD1907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599FC18A" w14:textId="0422B1F9" w:rsidR="00B74A13" w:rsidRPr="00775BA2" w:rsidRDefault="00AD1907" w:rsidP="002F060D">
      <w:pPr>
        <w:pStyle w:val="Tijeloteksta"/>
        <w:spacing w:before="215" w:line="276" w:lineRule="auto"/>
        <w:ind w:right="1035"/>
        <w:jc w:val="both"/>
      </w:pPr>
      <w:r w:rsidRPr="00775BA2">
        <w:rPr>
          <w:b/>
          <w:bCs/>
          <w:u w:val="single"/>
        </w:rPr>
        <w:t xml:space="preserve">IZVJEŠTAJ O STANJU </w:t>
      </w:r>
      <w:r w:rsidR="00B74A13" w:rsidRPr="00775BA2">
        <w:rPr>
          <w:b/>
          <w:bCs/>
          <w:u w:val="single"/>
        </w:rPr>
        <w:t xml:space="preserve">NOVČANIH SREDSTAVA, </w:t>
      </w:r>
      <w:r w:rsidRPr="00775BA2">
        <w:rPr>
          <w:b/>
          <w:bCs/>
          <w:u w:val="single"/>
        </w:rPr>
        <w:t>POTRAŽIVANJA I DOSPJELIH OBVEZA TE O STANJU POTENCIJALNIH OBVEZA PO OSNOVI SUDSKIH SPOROVA</w:t>
      </w:r>
    </w:p>
    <w:p w14:paraId="6536EC22" w14:textId="77777777" w:rsidR="000B43E0" w:rsidRPr="00775BA2" w:rsidRDefault="000B43E0" w:rsidP="000B43E0">
      <w:pPr>
        <w:pStyle w:val="Tijeloteksta"/>
        <w:jc w:val="both"/>
      </w:pPr>
    </w:p>
    <w:p w14:paraId="19B05849" w14:textId="58803EA7" w:rsidR="000B43E0" w:rsidRPr="00775BA2" w:rsidRDefault="00B74A13" w:rsidP="000B43E0">
      <w:pPr>
        <w:pStyle w:val="Tijeloteksta"/>
        <w:jc w:val="both"/>
      </w:pPr>
      <w:r w:rsidRPr="00775BA2">
        <w:rPr>
          <w:b/>
          <w:bCs/>
          <w:i/>
          <w:iCs/>
        </w:rPr>
        <w:t>Stanje novčanih sredstava</w:t>
      </w:r>
      <w:r w:rsidR="00094F10" w:rsidRPr="00775BA2">
        <w:t xml:space="preserve"> </w:t>
      </w:r>
      <w:r w:rsidRPr="00775BA2">
        <w:t>na dan 30.06.202</w:t>
      </w:r>
      <w:r w:rsidR="00A07A86" w:rsidRPr="00775BA2">
        <w:t>4</w:t>
      </w:r>
      <w:r w:rsidRPr="00775BA2">
        <w:t>. godine iznosi</w:t>
      </w:r>
      <w:r w:rsidR="00094F10" w:rsidRPr="00775BA2">
        <w:t xml:space="preserve"> </w:t>
      </w:r>
      <w:r w:rsidR="00A07A86" w:rsidRPr="00775BA2">
        <w:t>232.580,87</w:t>
      </w:r>
      <w:r w:rsidR="00094F10" w:rsidRPr="00775BA2">
        <w:t xml:space="preserve"> </w:t>
      </w:r>
      <w:r w:rsidRPr="00775BA2">
        <w:t>eura.</w:t>
      </w:r>
    </w:p>
    <w:p w14:paraId="4D3AAF38" w14:textId="1828933C" w:rsidR="00AD1907" w:rsidRPr="00775BA2" w:rsidRDefault="00AD1907" w:rsidP="000B43E0">
      <w:pPr>
        <w:pStyle w:val="Tijeloteksta"/>
        <w:jc w:val="both"/>
      </w:pPr>
      <w:r w:rsidRPr="00775BA2">
        <w:rPr>
          <w:b/>
          <w:bCs/>
          <w:i/>
          <w:iCs/>
        </w:rPr>
        <w:t>Stanje potraživanja</w:t>
      </w:r>
      <w:r w:rsidRPr="00775BA2">
        <w:t xml:space="preserve"> na dan 3</w:t>
      </w:r>
      <w:r w:rsidR="00B74A13" w:rsidRPr="00775BA2">
        <w:t>0</w:t>
      </w:r>
      <w:r w:rsidRPr="00775BA2">
        <w:t>.</w:t>
      </w:r>
      <w:r w:rsidR="00B74A13" w:rsidRPr="00775BA2">
        <w:t>06</w:t>
      </w:r>
      <w:r w:rsidRPr="00775BA2">
        <w:t>.202</w:t>
      </w:r>
      <w:r w:rsidR="00A07A86" w:rsidRPr="00775BA2">
        <w:t>4</w:t>
      </w:r>
      <w:r w:rsidRPr="00775BA2">
        <w:t xml:space="preserve">. godine iznosi </w:t>
      </w:r>
      <w:r w:rsidR="00664922" w:rsidRPr="00775BA2">
        <w:t>161.680,94</w:t>
      </w:r>
      <w:r w:rsidR="00B74A13" w:rsidRPr="00775BA2">
        <w:t xml:space="preserve"> eura.</w:t>
      </w:r>
    </w:p>
    <w:p w14:paraId="218D7B01" w14:textId="27930D93" w:rsidR="00BC25CF" w:rsidRPr="00775BA2" w:rsidRDefault="00BC25CF" w:rsidP="000B43E0">
      <w:pPr>
        <w:pStyle w:val="Tijeloteksta"/>
        <w:jc w:val="both"/>
      </w:pPr>
      <w:r w:rsidRPr="00775BA2">
        <w:rPr>
          <w:b/>
          <w:bCs/>
          <w:i/>
          <w:iCs/>
        </w:rPr>
        <w:t>Stanje obveza</w:t>
      </w:r>
      <w:r w:rsidRPr="00775BA2">
        <w:t xml:space="preserve"> na dan 3</w:t>
      </w:r>
      <w:r w:rsidR="00B74A13" w:rsidRPr="00775BA2">
        <w:t>0</w:t>
      </w:r>
      <w:r w:rsidRPr="00775BA2">
        <w:t>.</w:t>
      </w:r>
      <w:r w:rsidR="00B74A13" w:rsidRPr="00775BA2">
        <w:t>06</w:t>
      </w:r>
      <w:r w:rsidRPr="00775BA2">
        <w:t>.202</w:t>
      </w:r>
      <w:r w:rsidR="00664922" w:rsidRPr="00775BA2">
        <w:t>4</w:t>
      </w:r>
      <w:r w:rsidRPr="00775BA2">
        <w:t xml:space="preserve">. godine iznosi </w:t>
      </w:r>
      <w:r w:rsidR="00664922" w:rsidRPr="00775BA2">
        <w:t>110.620,26</w:t>
      </w:r>
      <w:r w:rsidR="00094F10" w:rsidRPr="00775BA2">
        <w:t xml:space="preserve"> eura</w:t>
      </w:r>
      <w:r w:rsidRPr="00775BA2">
        <w:t xml:space="preserve">. Dospjele </w:t>
      </w:r>
      <w:r w:rsidR="000B43E0" w:rsidRPr="00775BA2">
        <w:t xml:space="preserve">obveze </w:t>
      </w:r>
      <w:r w:rsidRPr="00775BA2">
        <w:t xml:space="preserve">iznose </w:t>
      </w:r>
      <w:r w:rsidR="00664922" w:rsidRPr="00775BA2">
        <w:t>16.016,07</w:t>
      </w:r>
      <w:r w:rsidR="00094F10" w:rsidRPr="00775BA2">
        <w:t xml:space="preserve"> eura</w:t>
      </w:r>
      <w:r w:rsidRPr="00775BA2">
        <w:t>, a nedospjele</w:t>
      </w:r>
      <w:r w:rsidR="000B43E0" w:rsidRPr="00775BA2">
        <w:t xml:space="preserve"> obveze</w:t>
      </w:r>
      <w:r w:rsidR="00664922" w:rsidRPr="00775BA2">
        <w:t xml:space="preserve"> 94</w:t>
      </w:r>
      <w:r w:rsidR="00775BA2" w:rsidRPr="00775BA2">
        <w:t>.</w:t>
      </w:r>
      <w:r w:rsidR="00664922" w:rsidRPr="00775BA2">
        <w:t>604,19</w:t>
      </w:r>
      <w:r w:rsidRPr="00775BA2">
        <w:t xml:space="preserve"> </w:t>
      </w:r>
      <w:r w:rsidR="00094F10" w:rsidRPr="00775BA2">
        <w:t xml:space="preserve"> eura</w:t>
      </w:r>
      <w:r w:rsidR="00775BA2" w:rsidRPr="00775BA2">
        <w:t xml:space="preserve"> od čega je obveza po kreditu 62.213,91 euro.</w:t>
      </w:r>
    </w:p>
    <w:p w14:paraId="37C1C26E" w14:textId="77777777" w:rsidR="00094F10" w:rsidRPr="00775BA2" w:rsidRDefault="00094F10" w:rsidP="000B43E0">
      <w:pPr>
        <w:pStyle w:val="Tijeloteksta"/>
        <w:jc w:val="both"/>
      </w:pPr>
    </w:p>
    <w:p w14:paraId="125F4632" w14:textId="4F7C7B38" w:rsidR="004521AA" w:rsidRDefault="00E43819" w:rsidP="000B43E0">
      <w:pPr>
        <w:pStyle w:val="Tijeloteksta"/>
        <w:jc w:val="both"/>
      </w:pPr>
      <w:r w:rsidRPr="00775BA2">
        <w:t>Potencijalnih obveza po osnovi sudskih sporova nema</w:t>
      </w:r>
      <w:r w:rsidR="00775BA2">
        <w:t>.</w:t>
      </w:r>
      <w:r w:rsidR="00664922">
        <w:t xml:space="preserve"> </w:t>
      </w:r>
    </w:p>
    <w:sectPr w:rsidR="004521AA" w:rsidSect="003E7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81E5" w14:textId="77777777" w:rsidR="00117186" w:rsidRDefault="00117186">
      <w:r>
        <w:separator/>
      </w:r>
    </w:p>
  </w:endnote>
  <w:endnote w:type="continuationSeparator" w:id="0">
    <w:p w14:paraId="58947FD5" w14:textId="77777777" w:rsidR="00117186" w:rsidRDefault="0011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B566" w14:textId="77777777" w:rsidR="003E716A" w:rsidRDefault="003E71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581066"/>
      <w:docPartObj>
        <w:docPartGallery w:val="Page Numbers (Bottom of Page)"/>
        <w:docPartUnique/>
      </w:docPartObj>
    </w:sdtPr>
    <w:sdtContent>
      <w:p w14:paraId="7C705E78" w14:textId="641DDDB6" w:rsidR="003E716A" w:rsidRDefault="003E716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E9A929E" w14:textId="77777777" w:rsidR="003E716A" w:rsidRDefault="003E71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28A9" w14:textId="77777777" w:rsidR="003E716A" w:rsidRDefault="003E71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8F46" w14:textId="77777777" w:rsidR="00117186" w:rsidRDefault="00117186">
      <w:r>
        <w:separator/>
      </w:r>
    </w:p>
  </w:footnote>
  <w:footnote w:type="continuationSeparator" w:id="0">
    <w:p w14:paraId="33EA43C1" w14:textId="77777777" w:rsidR="00117186" w:rsidRDefault="0011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57AA" w14:textId="77777777" w:rsidR="003E716A" w:rsidRDefault="003E71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2CDD" w14:textId="77777777" w:rsidR="003E716A" w:rsidRDefault="003E71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2281" w14:textId="77777777" w:rsidR="003E716A" w:rsidRDefault="003E71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AB2"/>
    <w:multiLevelType w:val="hybridMultilevel"/>
    <w:tmpl w:val="0458D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DFC"/>
    <w:multiLevelType w:val="hybridMultilevel"/>
    <w:tmpl w:val="732E22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066"/>
    <w:multiLevelType w:val="hybridMultilevel"/>
    <w:tmpl w:val="57AE1C50"/>
    <w:lvl w:ilvl="0" w:tplc="9AE6FC72">
      <w:numFmt w:val="bullet"/>
      <w:lvlText w:val=""/>
      <w:lvlJc w:val="left"/>
      <w:pPr>
        <w:ind w:left="9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F98F49C">
      <w:numFmt w:val="bullet"/>
      <w:lvlText w:val="•"/>
      <w:lvlJc w:val="left"/>
      <w:pPr>
        <w:ind w:left="1907" w:hanging="358"/>
      </w:pPr>
      <w:rPr>
        <w:rFonts w:hint="default"/>
        <w:lang w:val="bs" w:eastAsia="en-US" w:bidi="ar-SA"/>
      </w:rPr>
    </w:lvl>
    <w:lvl w:ilvl="2" w:tplc="9CE2F842">
      <w:numFmt w:val="bullet"/>
      <w:lvlText w:val="•"/>
      <w:lvlJc w:val="left"/>
      <w:pPr>
        <w:ind w:left="2854" w:hanging="358"/>
      </w:pPr>
      <w:rPr>
        <w:rFonts w:hint="default"/>
        <w:lang w:val="bs" w:eastAsia="en-US" w:bidi="ar-SA"/>
      </w:rPr>
    </w:lvl>
    <w:lvl w:ilvl="3" w:tplc="8C6C6C9C">
      <w:numFmt w:val="bullet"/>
      <w:lvlText w:val="•"/>
      <w:lvlJc w:val="left"/>
      <w:pPr>
        <w:ind w:left="3801" w:hanging="358"/>
      </w:pPr>
      <w:rPr>
        <w:rFonts w:hint="default"/>
        <w:lang w:val="bs" w:eastAsia="en-US" w:bidi="ar-SA"/>
      </w:rPr>
    </w:lvl>
    <w:lvl w:ilvl="4" w:tplc="1460F7BE">
      <w:numFmt w:val="bullet"/>
      <w:lvlText w:val="•"/>
      <w:lvlJc w:val="left"/>
      <w:pPr>
        <w:ind w:left="4748" w:hanging="358"/>
      </w:pPr>
      <w:rPr>
        <w:rFonts w:hint="default"/>
        <w:lang w:val="bs" w:eastAsia="en-US" w:bidi="ar-SA"/>
      </w:rPr>
    </w:lvl>
    <w:lvl w:ilvl="5" w:tplc="FFF27B92">
      <w:numFmt w:val="bullet"/>
      <w:lvlText w:val="•"/>
      <w:lvlJc w:val="left"/>
      <w:pPr>
        <w:ind w:left="5695" w:hanging="358"/>
      </w:pPr>
      <w:rPr>
        <w:rFonts w:hint="default"/>
        <w:lang w:val="bs" w:eastAsia="en-US" w:bidi="ar-SA"/>
      </w:rPr>
    </w:lvl>
    <w:lvl w:ilvl="6" w:tplc="0EEA70A6">
      <w:numFmt w:val="bullet"/>
      <w:lvlText w:val="•"/>
      <w:lvlJc w:val="left"/>
      <w:pPr>
        <w:ind w:left="6642" w:hanging="358"/>
      </w:pPr>
      <w:rPr>
        <w:rFonts w:hint="default"/>
        <w:lang w:val="bs" w:eastAsia="en-US" w:bidi="ar-SA"/>
      </w:rPr>
    </w:lvl>
    <w:lvl w:ilvl="7" w:tplc="15301BD2">
      <w:numFmt w:val="bullet"/>
      <w:lvlText w:val="•"/>
      <w:lvlJc w:val="left"/>
      <w:pPr>
        <w:ind w:left="7589" w:hanging="358"/>
      </w:pPr>
      <w:rPr>
        <w:rFonts w:hint="default"/>
        <w:lang w:val="bs" w:eastAsia="en-US" w:bidi="ar-SA"/>
      </w:rPr>
    </w:lvl>
    <w:lvl w:ilvl="8" w:tplc="A328AF46">
      <w:numFmt w:val="bullet"/>
      <w:lvlText w:val="•"/>
      <w:lvlJc w:val="left"/>
      <w:pPr>
        <w:ind w:left="8536" w:hanging="358"/>
      </w:pPr>
      <w:rPr>
        <w:rFonts w:hint="default"/>
        <w:lang w:val="bs" w:eastAsia="en-US" w:bidi="ar-SA"/>
      </w:rPr>
    </w:lvl>
  </w:abstractNum>
  <w:abstractNum w:abstractNumId="3" w15:restartNumberingAfterBreak="0">
    <w:nsid w:val="08F545F5"/>
    <w:multiLevelType w:val="hybridMultilevel"/>
    <w:tmpl w:val="04744410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D3AD1"/>
    <w:multiLevelType w:val="hybridMultilevel"/>
    <w:tmpl w:val="8B3AAC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DE9"/>
    <w:multiLevelType w:val="hybridMultilevel"/>
    <w:tmpl w:val="688410FC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B4C1F"/>
    <w:multiLevelType w:val="hybridMultilevel"/>
    <w:tmpl w:val="8EBE715E"/>
    <w:lvl w:ilvl="0" w:tplc="BE5EC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F71DC"/>
    <w:multiLevelType w:val="hybridMultilevel"/>
    <w:tmpl w:val="A93AA7BA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14F4F"/>
    <w:multiLevelType w:val="hybridMultilevel"/>
    <w:tmpl w:val="B53E8132"/>
    <w:lvl w:ilvl="0" w:tplc="02E8EE7E">
      <w:numFmt w:val="bullet"/>
      <w:lvlText w:val=""/>
      <w:lvlJc w:val="left"/>
      <w:pPr>
        <w:ind w:left="318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C0E77D0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038C5FBA">
      <w:numFmt w:val="bullet"/>
      <w:lvlText w:val="•"/>
      <w:lvlJc w:val="left"/>
      <w:pPr>
        <w:ind w:left="2083" w:hanging="360"/>
      </w:pPr>
      <w:rPr>
        <w:rFonts w:hint="default"/>
        <w:lang w:val="bs" w:eastAsia="en-US" w:bidi="ar-SA"/>
      </w:rPr>
    </w:lvl>
    <w:lvl w:ilvl="3" w:tplc="F468DED8">
      <w:numFmt w:val="bullet"/>
      <w:lvlText w:val="•"/>
      <w:lvlJc w:val="left"/>
      <w:pPr>
        <w:ind w:left="3126" w:hanging="360"/>
      </w:pPr>
      <w:rPr>
        <w:rFonts w:hint="default"/>
        <w:lang w:val="bs" w:eastAsia="en-US" w:bidi="ar-SA"/>
      </w:rPr>
    </w:lvl>
    <w:lvl w:ilvl="4" w:tplc="8C9E1C04">
      <w:numFmt w:val="bullet"/>
      <w:lvlText w:val="•"/>
      <w:lvlJc w:val="left"/>
      <w:pPr>
        <w:ind w:left="4170" w:hanging="360"/>
      </w:pPr>
      <w:rPr>
        <w:rFonts w:hint="default"/>
        <w:lang w:val="bs" w:eastAsia="en-US" w:bidi="ar-SA"/>
      </w:rPr>
    </w:lvl>
    <w:lvl w:ilvl="5" w:tplc="18A4A5E2">
      <w:numFmt w:val="bullet"/>
      <w:lvlText w:val="•"/>
      <w:lvlJc w:val="left"/>
      <w:pPr>
        <w:ind w:left="5213" w:hanging="360"/>
      </w:pPr>
      <w:rPr>
        <w:rFonts w:hint="default"/>
        <w:lang w:val="bs" w:eastAsia="en-US" w:bidi="ar-SA"/>
      </w:rPr>
    </w:lvl>
    <w:lvl w:ilvl="6" w:tplc="6862DD38">
      <w:numFmt w:val="bullet"/>
      <w:lvlText w:val="•"/>
      <w:lvlJc w:val="left"/>
      <w:pPr>
        <w:ind w:left="6257" w:hanging="360"/>
      </w:pPr>
      <w:rPr>
        <w:rFonts w:hint="default"/>
        <w:lang w:val="bs" w:eastAsia="en-US" w:bidi="ar-SA"/>
      </w:rPr>
    </w:lvl>
    <w:lvl w:ilvl="7" w:tplc="3C501ACC">
      <w:numFmt w:val="bullet"/>
      <w:lvlText w:val="•"/>
      <w:lvlJc w:val="left"/>
      <w:pPr>
        <w:ind w:left="7300" w:hanging="360"/>
      </w:pPr>
      <w:rPr>
        <w:rFonts w:hint="default"/>
        <w:lang w:val="bs" w:eastAsia="en-US" w:bidi="ar-SA"/>
      </w:rPr>
    </w:lvl>
    <w:lvl w:ilvl="8" w:tplc="6D92DF16">
      <w:numFmt w:val="bullet"/>
      <w:lvlText w:val="•"/>
      <w:lvlJc w:val="left"/>
      <w:pPr>
        <w:ind w:left="8344" w:hanging="360"/>
      </w:pPr>
      <w:rPr>
        <w:rFonts w:hint="default"/>
        <w:lang w:val="bs" w:eastAsia="en-US" w:bidi="ar-SA"/>
      </w:rPr>
    </w:lvl>
  </w:abstractNum>
  <w:abstractNum w:abstractNumId="9" w15:restartNumberingAfterBreak="0">
    <w:nsid w:val="1EBD02F4"/>
    <w:multiLevelType w:val="hybridMultilevel"/>
    <w:tmpl w:val="EAE84684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95C16"/>
    <w:multiLevelType w:val="hybridMultilevel"/>
    <w:tmpl w:val="AC7EDA0C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2C80"/>
    <w:multiLevelType w:val="hybridMultilevel"/>
    <w:tmpl w:val="720EFD40"/>
    <w:lvl w:ilvl="0" w:tplc="D44E36AA">
      <w:start w:val="29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2F8544E6"/>
    <w:multiLevelType w:val="hybridMultilevel"/>
    <w:tmpl w:val="BBB82284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B33"/>
    <w:multiLevelType w:val="hybridMultilevel"/>
    <w:tmpl w:val="6BF87BD4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F53DB"/>
    <w:multiLevelType w:val="hybridMultilevel"/>
    <w:tmpl w:val="C99859F6"/>
    <w:lvl w:ilvl="0" w:tplc="A844D5DA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CB3AE48C">
      <w:numFmt w:val="bullet"/>
      <w:lvlText w:val="•"/>
      <w:lvlJc w:val="left"/>
      <w:pPr>
        <w:ind w:left="2527" w:hanging="363"/>
      </w:pPr>
      <w:rPr>
        <w:rFonts w:hint="default"/>
        <w:lang w:val="bs" w:eastAsia="en-US" w:bidi="ar-SA"/>
      </w:rPr>
    </w:lvl>
    <w:lvl w:ilvl="3" w:tplc="8A9ADFE0">
      <w:numFmt w:val="bullet"/>
      <w:lvlText w:val="•"/>
      <w:lvlJc w:val="left"/>
      <w:pPr>
        <w:ind w:left="3515" w:hanging="363"/>
      </w:pPr>
      <w:rPr>
        <w:rFonts w:hint="default"/>
        <w:lang w:val="bs" w:eastAsia="en-US" w:bidi="ar-SA"/>
      </w:rPr>
    </w:lvl>
    <w:lvl w:ilvl="4" w:tplc="17AEB8FC">
      <w:numFmt w:val="bullet"/>
      <w:lvlText w:val="•"/>
      <w:lvlJc w:val="left"/>
      <w:pPr>
        <w:ind w:left="4503" w:hanging="363"/>
      </w:pPr>
      <w:rPr>
        <w:rFonts w:hint="default"/>
        <w:lang w:val="bs" w:eastAsia="en-US" w:bidi="ar-SA"/>
      </w:rPr>
    </w:lvl>
    <w:lvl w:ilvl="5" w:tplc="43C66424">
      <w:numFmt w:val="bullet"/>
      <w:lvlText w:val="•"/>
      <w:lvlJc w:val="left"/>
      <w:pPr>
        <w:ind w:left="5491" w:hanging="363"/>
      </w:pPr>
      <w:rPr>
        <w:rFonts w:hint="default"/>
        <w:lang w:val="bs" w:eastAsia="en-US" w:bidi="ar-SA"/>
      </w:rPr>
    </w:lvl>
    <w:lvl w:ilvl="6" w:tplc="100E256A">
      <w:numFmt w:val="bullet"/>
      <w:lvlText w:val="•"/>
      <w:lvlJc w:val="left"/>
      <w:pPr>
        <w:ind w:left="6479" w:hanging="363"/>
      </w:pPr>
      <w:rPr>
        <w:rFonts w:hint="default"/>
        <w:lang w:val="bs" w:eastAsia="en-US" w:bidi="ar-SA"/>
      </w:rPr>
    </w:lvl>
    <w:lvl w:ilvl="7" w:tplc="A52E753E">
      <w:numFmt w:val="bullet"/>
      <w:lvlText w:val="•"/>
      <w:lvlJc w:val="left"/>
      <w:pPr>
        <w:ind w:left="7467" w:hanging="363"/>
      </w:pPr>
      <w:rPr>
        <w:rFonts w:hint="default"/>
        <w:lang w:val="bs" w:eastAsia="en-US" w:bidi="ar-SA"/>
      </w:rPr>
    </w:lvl>
    <w:lvl w:ilvl="8" w:tplc="41328148">
      <w:numFmt w:val="bullet"/>
      <w:lvlText w:val="•"/>
      <w:lvlJc w:val="left"/>
      <w:pPr>
        <w:ind w:left="8455" w:hanging="363"/>
      </w:pPr>
      <w:rPr>
        <w:rFonts w:hint="default"/>
        <w:lang w:val="bs" w:eastAsia="en-US" w:bidi="ar-SA"/>
      </w:rPr>
    </w:lvl>
  </w:abstractNum>
  <w:abstractNum w:abstractNumId="15" w15:restartNumberingAfterBreak="0">
    <w:nsid w:val="41830FD1"/>
    <w:multiLevelType w:val="hybridMultilevel"/>
    <w:tmpl w:val="CF3A624C"/>
    <w:lvl w:ilvl="0" w:tplc="70A867C0">
      <w:start w:val="1"/>
      <w:numFmt w:val="decimal"/>
      <w:lvlText w:val="%1."/>
      <w:lvlJc w:val="left"/>
      <w:pPr>
        <w:ind w:left="103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bs" w:eastAsia="en-US" w:bidi="ar-SA"/>
      </w:rPr>
    </w:lvl>
    <w:lvl w:ilvl="1" w:tplc="BAD64A7A">
      <w:numFmt w:val="bullet"/>
      <w:lvlText w:val="•"/>
      <w:lvlJc w:val="left"/>
      <w:pPr>
        <w:ind w:left="1979" w:hanging="356"/>
      </w:pPr>
      <w:rPr>
        <w:rFonts w:hint="default"/>
        <w:lang w:val="bs" w:eastAsia="en-US" w:bidi="ar-SA"/>
      </w:rPr>
    </w:lvl>
    <w:lvl w:ilvl="2" w:tplc="C0A64B4A">
      <w:numFmt w:val="bullet"/>
      <w:lvlText w:val="•"/>
      <w:lvlJc w:val="left"/>
      <w:pPr>
        <w:ind w:left="2918" w:hanging="356"/>
      </w:pPr>
      <w:rPr>
        <w:rFonts w:hint="default"/>
        <w:lang w:val="bs" w:eastAsia="en-US" w:bidi="ar-SA"/>
      </w:rPr>
    </w:lvl>
    <w:lvl w:ilvl="3" w:tplc="EDBA9240">
      <w:numFmt w:val="bullet"/>
      <w:lvlText w:val="•"/>
      <w:lvlJc w:val="left"/>
      <w:pPr>
        <w:ind w:left="3857" w:hanging="356"/>
      </w:pPr>
      <w:rPr>
        <w:rFonts w:hint="default"/>
        <w:lang w:val="bs" w:eastAsia="en-US" w:bidi="ar-SA"/>
      </w:rPr>
    </w:lvl>
    <w:lvl w:ilvl="4" w:tplc="4FD290B4">
      <w:numFmt w:val="bullet"/>
      <w:lvlText w:val="•"/>
      <w:lvlJc w:val="left"/>
      <w:pPr>
        <w:ind w:left="4796" w:hanging="356"/>
      </w:pPr>
      <w:rPr>
        <w:rFonts w:hint="default"/>
        <w:lang w:val="bs" w:eastAsia="en-US" w:bidi="ar-SA"/>
      </w:rPr>
    </w:lvl>
    <w:lvl w:ilvl="5" w:tplc="EEC6E678">
      <w:numFmt w:val="bullet"/>
      <w:lvlText w:val="•"/>
      <w:lvlJc w:val="left"/>
      <w:pPr>
        <w:ind w:left="5735" w:hanging="356"/>
      </w:pPr>
      <w:rPr>
        <w:rFonts w:hint="default"/>
        <w:lang w:val="bs" w:eastAsia="en-US" w:bidi="ar-SA"/>
      </w:rPr>
    </w:lvl>
    <w:lvl w:ilvl="6" w:tplc="4C2E154A">
      <w:numFmt w:val="bullet"/>
      <w:lvlText w:val="•"/>
      <w:lvlJc w:val="left"/>
      <w:pPr>
        <w:ind w:left="6674" w:hanging="356"/>
      </w:pPr>
      <w:rPr>
        <w:rFonts w:hint="default"/>
        <w:lang w:val="bs" w:eastAsia="en-US" w:bidi="ar-SA"/>
      </w:rPr>
    </w:lvl>
    <w:lvl w:ilvl="7" w:tplc="1F16EF0A">
      <w:numFmt w:val="bullet"/>
      <w:lvlText w:val="•"/>
      <w:lvlJc w:val="left"/>
      <w:pPr>
        <w:ind w:left="7613" w:hanging="356"/>
      </w:pPr>
      <w:rPr>
        <w:rFonts w:hint="default"/>
        <w:lang w:val="bs" w:eastAsia="en-US" w:bidi="ar-SA"/>
      </w:rPr>
    </w:lvl>
    <w:lvl w:ilvl="8" w:tplc="1B8AE848">
      <w:numFmt w:val="bullet"/>
      <w:lvlText w:val="•"/>
      <w:lvlJc w:val="left"/>
      <w:pPr>
        <w:ind w:left="8552" w:hanging="356"/>
      </w:pPr>
      <w:rPr>
        <w:rFonts w:hint="default"/>
        <w:lang w:val="bs" w:eastAsia="en-US" w:bidi="ar-SA"/>
      </w:rPr>
    </w:lvl>
  </w:abstractNum>
  <w:abstractNum w:abstractNumId="16" w15:restartNumberingAfterBreak="0">
    <w:nsid w:val="43EB5399"/>
    <w:multiLevelType w:val="hybridMultilevel"/>
    <w:tmpl w:val="362EE380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774D8"/>
    <w:multiLevelType w:val="hybridMultilevel"/>
    <w:tmpl w:val="BF42BF48"/>
    <w:lvl w:ilvl="0" w:tplc="B9E03C26">
      <w:start w:val="1"/>
      <w:numFmt w:val="decimal"/>
      <w:lvlText w:val="%1."/>
      <w:lvlJc w:val="left"/>
      <w:pPr>
        <w:ind w:left="11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bs" w:eastAsia="en-US" w:bidi="ar-SA"/>
      </w:rPr>
    </w:lvl>
    <w:lvl w:ilvl="1" w:tplc="FC6E93F2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2564ECF4">
      <w:numFmt w:val="bullet"/>
      <w:lvlText w:val="•"/>
      <w:lvlJc w:val="left"/>
      <w:pPr>
        <w:ind w:left="2966" w:hanging="360"/>
      </w:pPr>
      <w:rPr>
        <w:rFonts w:hint="default"/>
        <w:lang w:val="bs" w:eastAsia="en-US" w:bidi="ar-SA"/>
      </w:rPr>
    </w:lvl>
    <w:lvl w:ilvl="3" w:tplc="E64EB9F4">
      <w:numFmt w:val="bullet"/>
      <w:lvlText w:val="•"/>
      <w:lvlJc w:val="left"/>
      <w:pPr>
        <w:ind w:left="3899" w:hanging="360"/>
      </w:pPr>
      <w:rPr>
        <w:rFonts w:hint="default"/>
        <w:lang w:val="bs" w:eastAsia="en-US" w:bidi="ar-SA"/>
      </w:rPr>
    </w:lvl>
    <w:lvl w:ilvl="4" w:tplc="45C61C92">
      <w:numFmt w:val="bullet"/>
      <w:lvlText w:val="•"/>
      <w:lvlJc w:val="left"/>
      <w:pPr>
        <w:ind w:left="4832" w:hanging="360"/>
      </w:pPr>
      <w:rPr>
        <w:rFonts w:hint="default"/>
        <w:lang w:val="bs" w:eastAsia="en-US" w:bidi="ar-SA"/>
      </w:rPr>
    </w:lvl>
    <w:lvl w:ilvl="5" w:tplc="4E6617B4">
      <w:numFmt w:val="bullet"/>
      <w:lvlText w:val="•"/>
      <w:lvlJc w:val="left"/>
      <w:pPr>
        <w:ind w:left="5765" w:hanging="360"/>
      </w:pPr>
      <w:rPr>
        <w:rFonts w:hint="default"/>
        <w:lang w:val="bs" w:eastAsia="en-US" w:bidi="ar-SA"/>
      </w:rPr>
    </w:lvl>
    <w:lvl w:ilvl="6" w:tplc="C0B0DB90">
      <w:numFmt w:val="bullet"/>
      <w:lvlText w:val="•"/>
      <w:lvlJc w:val="left"/>
      <w:pPr>
        <w:ind w:left="6698" w:hanging="360"/>
      </w:pPr>
      <w:rPr>
        <w:rFonts w:hint="default"/>
        <w:lang w:val="bs" w:eastAsia="en-US" w:bidi="ar-SA"/>
      </w:rPr>
    </w:lvl>
    <w:lvl w:ilvl="7" w:tplc="9CE46B96">
      <w:numFmt w:val="bullet"/>
      <w:lvlText w:val="•"/>
      <w:lvlJc w:val="left"/>
      <w:pPr>
        <w:ind w:left="7631" w:hanging="360"/>
      </w:pPr>
      <w:rPr>
        <w:rFonts w:hint="default"/>
        <w:lang w:val="bs" w:eastAsia="en-US" w:bidi="ar-SA"/>
      </w:rPr>
    </w:lvl>
    <w:lvl w:ilvl="8" w:tplc="F440061E">
      <w:numFmt w:val="bullet"/>
      <w:lvlText w:val="•"/>
      <w:lvlJc w:val="left"/>
      <w:pPr>
        <w:ind w:left="8564" w:hanging="360"/>
      </w:pPr>
      <w:rPr>
        <w:rFonts w:hint="default"/>
        <w:lang w:val="bs" w:eastAsia="en-US" w:bidi="ar-SA"/>
      </w:rPr>
    </w:lvl>
  </w:abstractNum>
  <w:abstractNum w:abstractNumId="18" w15:restartNumberingAfterBreak="0">
    <w:nsid w:val="4D7F4BB8"/>
    <w:multiLevelType w:val="hybridMultilevel"/>
    <w:tmpl w:val="408478D0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3B0335"/>
    <w:multiLevelType w:val="hybridMultilevel"/>
    <w:tmpl w:val="8940FB8C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0156B"/>
    <w:multiLevelType w:val="hybridMultilevel"/>
    <w:tmpl w:val="6F2A41B8"/>
    <w:lvl w:ilvl="0" w:tplc="FFFFFFFF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1" w15:restartNumberingAfterBreak="0">
    <w:nsid w:val="5C7534CE"/>
    <w:multiLevelType w:val="hybridMultilevel"/>
    <w:tmpl w:val="4644FC1A"/>
    <w:lvl w:ilvl="0" w:tplc="43C07742">
      <w:start w:val="1"/>
      <w:numFmt w:val="bullet"/>
      <w:lvlText w:val="­"/>
      <w:lvlJc w:val="left"/>
      <w:pPr>
        <w:ind w:left="938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FFFFFFFF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2" w15:restartNumberingAfterBreak="0">
    <w:nsid w:val="5F546C1D"/>
    <w:multiLevelType w:val="hybridMultilevel"/>
    <w:tmpl w:val="DFD0BFFE"/>
    <w:lvl w:ilvl="0" w:tplc="18F8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2755F"/>
    <w:multiLevelType w:val="hybridMultilevel"/>
    <w:tmpl w:val="3200AE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12CB6"/>
    <w:multiLevelType w:val="hybridMultilevel"/>
    <w:tmpl w:val="0C58D180"/>
    <w:lvl w:ilvl="0" w:tplc="5F084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B39F1"/>
    <w:multiLevelType w:val="hybridMultilevel"/>
    <w:tmpl w:val="AD26F834"/>
    <w:lvl w:ilvl="0" w:tplc="E3F4B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E5337"/>
    <w:multiLevelType w:val="hybridMultilevel"/>
    <w:tmpl w:val="CBE46492"/>
    <w:lvl w:ilvl="0" w:tplc="18F8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4369E"/>
    <w:multiLevelType w:val="hybridMultilevel"/>
    <w:tmpl w:val="277891DC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85C43"/>
    <w:multiLevelType w:val="hybridMultilevel"/>
    <w:tmpl w:val="9808E8E6"/>
    <w:lvl w:ilvl="0" w:tplc="4F98F49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67B9C"/>
    <w:multiLevelType w:val="hybridMultilevel"/>
    <w:tmpl w:val="D0120266"/>
    <w:lvl w:ilvl="0" w:tplc="7F80D88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607A84D4">
      <w:numFmt w:val="bullet"/>
      <w:lvlText w:val="•"/>
      <w:lvlJc w:val="left"/>
      <w:pPr>
        <w:ind w:left="1979" w:hanging="360"/>
      </w:pPr>
      <w:rPr>
        <w:rFonts w:hint="default"/>
        <w:lang w:val="bs" w:eastAsia="en-US" w:bidi="ar-SA"/>
      </w:rPr>
    </w:lvl>
    <w:lvl w:ilvl="2" w:tplc="51989C88">
      <w:numFmt w:val="bullet"/>
      <w:lvlText w:val="•"/>
      <w:lvlJc w:val="left"/>
      <w:pPr>
        <w:ind w:left="2918" w:hanging="360"/>
      </w:pPr>
      <w:rPr>
        <w:rFonts w:hint="default"/>
        <w:lang w:val="bs" w:eastAsia="en-US" w:bidi="ar-SA"/>
      </w:rPr>
    </w:lvl>
    <w:lvl w:ilvl="3" w:tplc="9E9690BA">
      <w:numFmt w:val="bullet"/>
      <w:lvlText w:val="•"/>
      <w:lvlJc w:val="left"/>
      <w:pPr>
        <w:ind w:left="3857" w:hanging="360"/>
      </w:pPr>
      <w:rPr>
        <w:rFonts w:hint="default"/>
        <w:lang w:val="bs" w:eastAsia="en-US" w:bidi="ar-SA"/>
      </w:rPr>
    </w:lvl>
    <w:lvl w:ilvl="4" w:tplc="A5E02678">
      <w:numFmt w:val="bullet"/>
      <w:lvlText w:val="•"/>
      <w:lvlJc w:val="left"/>
      <w:pPr>
        <w:ind w:left="4796" w:hanging="360"/>
      </w:pPr>
      <w:rPr>
        <w:rFonts w:hint="default"/>
        <w:lang w:val="bs" w:eastAsia="en-US" w:bidi="ar-SA"/>
      </w:rPr>
    </w:lvl>
    <w:lvl w:ilvl="5" w:tplc="157C85D0">
      <w:numFmt w:val="bullet"/>
      <w:lvlText w:val="•"/>
      <w:lvlJc w:val="left"/>
      <w:pPr>
        <w:ind w:left="5735" w:hanging="360"/>
      </w:pPr>
      <w:rPr>
        <w:rFonts w:hint="default"/>
        <w:lang w:val="bs" w:eastAsia="en-US" w:bidi="ar-SA"/>
      </w:rPr>
    </w:lvl>
    <w:lvl w:ilvl="6" w:tplc="1AF6B52E">
      <w:numFmt w:val="bullet"/>
      <w:lvlText w:val="•"/>
      <w:lvlJc w:val="left"/>
      <w:pPr>
        <w:ind w:left="6674" w:hanging="360"/>
      </w:pPr>
      <w:rPr>
        <w:rFonts w:hint="default"/>
        <w:lang w:val="bs" w:eastAsia="en-US" w:bidi="ar-SA"/>
      </w:rPr>
    </w:lvl>
    <w:lvl w:ilvl="7" w:tplc="4574D5F6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  <w:lvl w:ilvl="8" w:tplc="D9F8A6E8">
      <w:numFmt w:val="bullet"/>
      <w:lvlText w:val="•"/>
      <w:lvlJc w:val="left"/>
      <w:pPr>
        <w:ind w:left="8552" w:hanging="360"/>
      </w:pPr>
      <w:rPr>
        <w:rFonts w:hint="default"/>
        <w:lang w:val="bs" w:eastAsia="en-US" w:bidi="ar-SA"/>
      </w:rPr>
    </w:lvl>
  </w:abstractNum>
  <w:abstractNum w:abstractNumId="30" w15:restartNumberingAfterBreak="0">
    <w:nsid w:val="6A866192"/>
    <w:multiLevelType w:val="hybridMultilevel"/>
    <w:tmpl w:val="EBB643E0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0380F"/>
    <w:multiLevelType w:val="hybridMultilevel"/>
    <w:tmpl w:val="7B98EF7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9512487A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62233"/>
    <w:multiLevelType w:val="hybridMultilevel"/>
    <w:tmpl w:val="07547D02"/>
    <w:lvl w:ilvl="0" w:tplc="1B6409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3AA1B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B1C71"/>
    <w:multiLevelType w:val="hybridMultilevel"/>
    <w:tmpl w:val="C9984C78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E00D1"/>
    <w:multiLevelType w:val="hybridMultilevel"/>
    <w:tmpl w:val="E0BE57A2"/>
    <w:lvl w:ilvl="0" w:tplc="455A011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9CFACE86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8C449F6A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0E5097B2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1E8C6232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A7AABC0A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73D4199C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D892104A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67D0064C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35" w15:restartNumberingAfterBreak="0">
    <w:nsid w:val="7852362F"/>
    <w:multiLevelType w:val="hybridMultilevel"/>
    <w:tmpl w:val="E264DA4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60657"/>
    <w:multiLevelType w:val="hybridMultilevel"/>
    <w:tmpl w:val="CBE22180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9097">
    <w:abstractNumId w:val="2"/>
  </w:num>
  <w:num w:numId="2" w16cid:durableId="1577133443">
    <w:abstractNumId w:val="29"/>
  </w:num>
  <w:num w:numId="3" w16cid:durableId="1292638865">
    <w:abstractNumId w:val="14"/>
  </w:num>
  <w:num w:numId="4" w16cid:durableId="902060554">
    <w:abstractNumId w:val="34"/>
  </w:num>
  <w:num w:numId="5" w16cid:durableId="1228997906">
    <w:abstractNumId w:val="8"/>
  </w:num>
  <w:num w:numId="6" w16cid:durableId="882062240">
    <w:abstractNumId w:val="17"/>
  </w:num>
  <w:num w:numId="7" w16cid:durableId="197473101">
    <w:abstractNumId w:val="15"/>
  </w:num>
  <w:num w:numId="8" w16cid:durableId="1218787431">
    <w:abstractNumId w:val="0"/>
  </w:num>
  <w:num w:numId="9" w16cid:durableId="2062292063">
    <w:abstractNumId w:val="4"/>
  </w:num>
  <w:num w:numId="10" w16cid:durableId="1526165327">
    <w:abstractNumId w:val="33"/>
  </w:num>
  <w:num w:numId="11" w16cid:durableId="1028724883">
    <w:abstractNumId w:val="31"/>
  </w:num>
  <w:num w:numId="12" w16cid:durableId="1953126042">
    <w:abstractNumId w:val="21"/>
  </w:num>
  <w:num w:numId="13" w16cid:durableId="334306014">
    <w:abstractNumId w:val="23"/>
  </w:num>
  <w:num w:numId="14" w16cid:durableId="1387610224">
    <w:abstractNumId w:val="20"/>
  </w:num>
  <w:num w:numId="15" w16cid:durableId="247665780">
    <w:abstractNumId w:val="18"/>
  </w:num>
  <w:num w:numId="16" w16cid:durableId="926426967">
    <w:abstractNumId w:val="11"/>
  </w:num>
  <w:num w:numId="17" w16cid:durableId="149179600">
    <w:abstractNumId w:val="1"/>
  </w:num>
  <w:num w:numId="18" w16cid:durableId="289750078">
    <w:abstractNumId w:val="16"/>
  </w:num>
  <w:num w:numId="19" w16cid:durableId="1019164495">
    <w:abstractNumId w:val="5"/>
  </w:num>
  <w:num w:numId="20" w16cid:durableId="277373705">
    <w:abstractNumId w:val="6"/>
  </w:num>
  <w:num w:numId="21" w16cid:durableId="1461337142">
    <w:abstractNumId w:val="7"/>
  </w:num>
  <w:num w:numId="22" w16cid:durableId="1994261750">
    <w:abstractNumId w:val="35"/>
  </w:num>
  <w:num w:numId="23" w16cid:durableId="1032807601">
    <w:abstractNumId w:val="10"/>
  </w:num>
  <w:num w:numId="24" w16cid:durableId="1947538696">
    <w:abstractNumId w:val="32"/>
  </w:num>
  <w:num w:numId="25" w16cid:durableId="1423911118">
    <w:abstractNumId w:val="9"/>
  </w:num>
  <w:num w:numId="26" w16cid:durableId="412049711">
    <w:abstractNumId w:val="3"/>
  </w:num>
  <w:num w:numId="27" w16cid:durableId="1475829608">
    <w:abstractNumId w:val="25"/>
  </w:num>
  <w:num w:numId="28" w16cid:durableId="792090668">
    <w:abstractNumId w:val="28"/>
  </w:num>
  <w:num w:numId="29" w16cid:durableId="1756854978">
    <w:abstractNumId w:val="24"/>
  </w:num>
  <w:num w:numId="30" w16cid:durableId="152599609">
    <w:abstractNumId w:val="19"/>
  </w:num>
  <w:num w:numId="31" w16cid:durableId="1883403405">
    <w:abstractNumId w:val="26"/>
  </w:num>
  <w:num w:numId="32" w16cid:durableId="653875574">
    <w:abstractNumId w:val="22"/>
  </w:num>
  <w:num w:numId="33" w16cid:durableId="1843619934">
    <w:abstractNumId w:val="13"/>
  </w:num>
  <w:num w:numId="34" w16cid:durableId="2018846124">
    <w:abstractNumId w:val="36"/>
  </w:num>
  <w:num w:numId="35" w16cid:durableId="509830692">
    <w:abstractNumId w:val="12"/>
  </w:num>
  <w:num w:numId="36" w16cid:durableId="170998076">
    <w:abstractNumId w:val="27"/>
  </w:num>
  <w:num w:numId="37" w16cid:durableId="9933382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05"/>
    <w:rsid w:val="0001170D"/>
    <w:rsid w:val="000145A5"/>
    <w:rsid w:val="00020187"/>
    <w:rsid w:val="00023743"/>
    <w:rsid w:val="0002712C"/>
    <w:rsid w:val="00035FB1"/>
    <w:rsid w:val="0005035D"/>
    <w:rsid w:val="0007272C"/>
    <w:rsid w:val="00082472"/>
    <w:rsid w:val="00085F68"/>
    <w:rsid w:val="00094F10"/>
    <w:rsid w:val="000A46E7"/>
    <w:rsid w:val="000A554A"/>
    <w:rsid w:val="000A7BBB"/>
    <w:rsid w:val="000B43E0"/>
    <w:rsid w:val="000C5772"/>
    <w:rsid w:val="000D014E"/>
    <w:rsid w:val="000D15F3"/>
    <w:rsid w:val="000F6BF8"/>
    <w:rsid w:val="001058C4"/>
    <w:rsid w:val="0011534F"/>
    <w:rsid w:val="00117186"/>
    <w:rsid w:val="00170173"/>
    <w:rsid w:val="001C33FD"/>
    <w:rsid w:val="001D7490"/>
    <w:rsid w:val="001E35D4"/>
    <w:rsid w:val="001F646A"/>
    <w:rsid w:val="00211C93"/>
    <w:rsid w:val="002156A9"/>
    <w:rsid w:val="00235393"/>
    <w:rsid w:val="0024134D"/>
    <w:rsid w:val="0025091A"/>
    <w:rsid w:val="002858AC"/>
    <w:rsid w:val="00293621"/>
    <w:rsid w:val="002B5B63"/>
    <w:rsid w:val="002F060D"/>
    <w:rsid w:val="00300C40"/>
    <w:rsid w:val="00301005"/>
    <w:rsid w:val="00301F65"/>
    <w:rsid w:val="003061BC"/>
    <w:rsid w:val="003121C0"/>
    <w:rsid w:val="00327C8B"/>
    <w:rsid w:val="00370D75"/>
    <w:rsid w:val="00381E3D"/>
    <w:rsid w:val="003A5A57"/>
    <w:rsid w:val="003B630F"/>
    <w:rsid w:val="003E0493"/>
    <w:rsid w:val="003E716A"/>
    <w:rsid w:val="003E7C2C"/>
    <w:rsid w:val="003F5C40"/>
    <w:rsid w:val="003F60A4"/>
    <w:rsid w:val="0043505E"/>
    <w:rsid w:val="004521AA"/>
    <w:rsid w:val="00465CC5"/>
    <w:rsid w:val="00485643"/>
    <w:rsid w:val="00485D19"/>
    <w:rsid w:val="00490C7C"/>
    <w:rsid w:val="004B183E"/>
    <w:rsid w:val="004E049F"/>
    <w:rsid w:val="004E549F"/>
    <w:rsid w:val="004E738E"/>
    <w:rsid w:val="00534554"/>
    <w:rsid w:val="0055086F"/>
    <w:rsid w:val="00552B84"/>
    <w:rsid w:val="00580D98"/>
    <w:rsid w:val="00582BE5"/>
    <w:rsid w:val="005846E8"/>
    <w:rsid w:val="0059200D"/>
    <w:rsid w:val="00594956"/>
    <w:rsid w:val="005965FB"/>
    <w:rsid w:val="005A08D6"/>
    <w:rsid w:val="005A54B3"/>
    <w:rsid w:val="005A5F8C"/>
    <w:rsid w:val="005B6785"/>
    <w:rsid w:val="005C2BC5"/>
    <w:rsid w:val="00604630"/>
    <w:rsid w:val="006224A9"/>
    <w:rsid w:val="00652325"/>
    <w:rsid w:val="00664922"/>
    <w:rsid w:val="00683B71"/>
    <w:rsid w:val="006B4F3A"/>
    <w:rsid w:val="006B6510"/>
    <w:rsid w:val="006C09DA"/>
    <w:rsid w:val="006C4388"/>
    <w:rsid w:val="006D4355"/>
    <w:rsid w:val="006F043C"/>
    <w:rsid w:val="00745B91"/>
    <w:rsid w:val="007566AA"/>
    <w:rsid w:val="00764413"/>
    <w:rsid w:val="00775BA2"/>
    <w:rsid w:val="0077671D"/>
    <w:rsid w:val="00777820"/>
    <w:rsid w:val="00780574"/>
    <w:rsid w:val="00802DAE"/>
    <w:rsid w:val="00806F87"/>
    <w:rsid w:val="008257F3"/>
    <w:rsid w:val="008735C8"/>
    <w:rsid w:val="00894E24"/>
    <w:rsid w:val="008957E1"/>
    <w:rsid w:val="008A72A5"/>
    <w:rsid w:val="008C39F6"/>
    <w:rsid w:val="008D44F9"/>
    <w:rsid w:val="008F7409"/>
    <w:rsid w:val="009211EE"/>
    <w:rsid w:val="009647CC"/>
    <w:rsid w:val="00990F9D"/>
    <w:rsid w:val="009937B8"/>
    <w:rsid w:val="0099795B"/>
    <w:rsid w:val="009D21D5"/>
    <w:rsid w:val="009D427F"/>
    <w:rsid w:val="009E207F"/>
    <w:rsid w:val="00A07A86"/>
    <w:rsid w:val="00A13D14"/>
    <w:rsid w:val="00A1749D"/>
    <w:rsid w:val="00A20406"/>
    <w:rsid w:val="00A26213"/>
    <w:rsid w:val="00A34FA9"/>
    <w:rsid w:val="00A56FD1"/>
    <w:rsid w:val="00A665FC"/>
    <w:rsid w:val="00A76F3E"/>
    <w:rsid w:val="00A8528E"/>
    <w:rsid w:val="00A8583E"/>
    <w:rsid w:val="00A87913"/>
    <w:rsid w:val="00AB1E0C"/>
    <w:rsid w:val="00AD0FF5"/>
    <w:rsid w:val="00AD1907"/>
    <w:rsid w:val="00AD22D7"/>
    <w:rsid w:val="00AE3CCC"/>
    <w:rsid w:val="00AE5499"/>
    <w:rsid w:val="00AF3891"/>
    <w:rsid w:val="00B07172"/>
    <w:rsid w:val="00B1261F"/>
    <w:rsid w:val="00B17F5A"/>
    <w:rsid w:val="00B26837"/>
    <w:rsid w:val="00B53582"/>
    <w:rsid w:val="00B6133E"/>
    <w:rsid w:val="00B64016"/>
    <w:rsid w:val="00B71DFB"/>
    <w:rsid w:val="00B74A13"/>
    <w:rsid w:val="00B74C3E"/>
    <w:rsid w:val="00BB0CAB"/>
    <w:rsid w:val="00BB2170"/>
    <w:rsid w:val="00BC25CF"/>
    <w:rsid w:val="00BD38C4"/>
    <w:rsid w:val="00BD7EF9"/>
    <w:rsid w:val="00BE175B"/>
    <w:rsid w:val="00C346AF"/>
    <w:rsid w:val="00C45DDD"/>
    <w:rsid w:val="00C47818"/>
    <w:rsid w:val="00C8110D"/>
    <w:rsid w:val="00C8298A"/>
    <w:rsid w:val="00C841B9"/>
    <w:rsid w:val="00CC5B80"/>
    <w:rsid w:val="00CF573B"/>
    <w:rsid w:val="00D3334F"/>
    <w:rsid w:val="00D379AB"/>
    <w:rsid w:val="00D64700"/>
    <w:rsid w:val="00D74781"/>
    <w:rsid w:val="00D80A8D"/>
    <w:rsid w:val="00D857B2"/>
    <w:rsid w:val="00DC4132"/>
    <w:rsid w:val="00DC5D4A"/>
    <w:rsid w:val="00DD5F35"/>
    <w:rsid w:val="00E0097D"/>
    <w:rsid w:val="00E07F26"/>
    <w:rsid w:val="00E43819"/>
    <w:rsid w:val="00E452BB"/>
    <w:rsid w:val="00E475D0"/>
    <w:rsid w:val="00E57976"/>
    <w:rsid w:val="00E753DF"/>
    <w:rsid w:val="00E95C04"/>
    <w:rsid w:val="00E97F04"/>
    <w:rsid w:val="00EE0F49"/>
    <w:rsid w:val="00F85048"/>
    <w:rsid w:val="00F86B52"/>
    <w:rsid w:val="00F86C5F"/>
    <w:rsid w:val="00F95035"/>
    <w:rsid w:val="00FC230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6551"/>
  <w15:docId w15:val="{CE377FF4-520C-4590-A634-DD6468E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line="275" w:lineRule="exact"/>
      <w:ind w:left="676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90"/>
      <w:ind w:left="290"/>
      <w:outlineLvl w:val="2"/>
    </w:pPr>
    <w:rPr>
      <w:b/>
      <w:bCs/>
      <w:i/>
      <w:iCs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ind w:left="318"/>
      <w:jc w:val="both"/>
      <w:outlineLvl w:val="3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line="452" w:lineRule="exact"/>
      <w:ind w:left="2471" w:right="3182"/>
      <w:jc w:val="center"/>
    </w:pPr>
    <w:rPr>
      <w:b/>
      <w:bCs/>
      <w:i/>
      <w:i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038" w:hanging="363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Zaglavlje">
    <w:name w:val="header"/>
    <w:basedOn w:val="Normal"/>
    <w:link w:val="ZaglavljeChar"/>
    <w:uiPriority w:val="99"/>
    <w:unhideWhenUsed/>
    <w:rsid w:val="003121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1C0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3121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1C0"/>
    <w:rPr>
      <w:rFonts w:ascii="Times New Roman" w:eastAsia="Times New Roman" w:hAnsi="Times New Roman" w:cs="Times New Roman"/>
      <w:lang w:val="bs"/>
    </w:rPr>
  </w:style>
  <w:style w:type="paragraph" w:styleId="StandardWeb">
    <w:name w:val="Normal (Web)"/>
    <w:basedOn w:val="Normal"/>
    <w:uiPriority w:val="99"/>
    <w:semiHidden/>
    <w:unhideWhenUsed/>
    <w:rsid w:val="00DD5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Financije</dc:creator>
  <cp:lastModifiedBy>Korisnik</cp:lastModifiedBy>
  <cp:revision>2</cp:revision>
  <cp:lastPrinted>2023-09-21T10:12:00Z</cp:lastPrinted>
  <dcterms:created xsi:type="dcterms:W3CDTF">2024-09-10T10:49:00Z</dcterms:created>
  <dcterms:modified xsi:type="dcterms:W3CDTF">2024-09-10T10:49:00Z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za Microsoft 365</vt:lpwstr>
  </property>
</Properties>
</file>